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0" w:beforeAutospacing="0" w:after="0" w:afterLines="0" w:afterAutospacing="0" w:line="578" w:lineRule="exact"/>
        <w:ind w:left="0" w:right="0"/>
        <w:jc w:val="center"/>
        <w:rPr>
          <w:rFonts w:hint="eastAsia" w:ascii="宋体" w:hAnsi="宋体" w:eastAsia="宋体" w:cs="宋体"/>
          <w:b/>
          <w:bCs w:val="0"/>
          <w:kern w:val="2"/>
          <w:sz w:val="52"/>
          <w:szCs w:val="52"/>
          <w:lang w:val="en-US" w:eastAsia="zh-CN" w:bidi="ar"/>
        </w:rPr>
      </w:pPr>
    </w:p>
    <w:p>
      <w:pPr>
        <w:keepNext w:val="0"/>
        <w:keepLines w:val="0"/>
        <w:widowControl w:val="0"/>
        <w:suppressLineNumbers w:val="0"/>
        <w:spacing w:before="0" w:beforeLines="0" w:beforeAutospacing="0" w:after="0" w:afterLines="0" w:afterAutospacing="0" w:line="578" w:lineRule="exact"/>
        <w:ind w:left="0" w:right="0"/>
        <w:jc w:val="center"/>
        <w:rPr>
          <w:rFonts w:hint="eastAsia" w:ascii="宋体" w:hAnsi="宋体" w:eastAsia="宋体" w:cs="宋体"/>
          <w:b/>
          <w:bCs w:val="0"/>
          <w:color w:val="auto"/>
          <w:kern w:val="2"/>
          <w:sz w:val="52"/>
          <w:szCs w:val="52"/>
          <w:lang w:val="en-US" w:eastAsia="zh-CN" w:bidi="ar"/>
        </w:rPr>
      </w:pPr>
    </w:p>
    <w:p>
      <w:pPr>
        <w:keepNext w:val="0"/>
        <w:keepLines w:val="0"/>
        <w:widowControl w:val="0"/>
        <w:suppressLineNumbers w:val="0"/>
        <w:spacing w:before="0" w:beforeLines="0" w:beforeAutospacing="0" w:after="0" w:afterLines="0" w:afterAutospacing="0" w:line="578" w:lineRule="exact"/>
        <w:ind w:left="0" w:right="0"/>
        <w:jc w:val="center"/>
        <w:rPr>
          <w:rFonts w:hint="eastAsia" w:ascii="宋体" w:hAnsi="宋体" w:eastAsia="宋体" w:cs="宋体"/>
          <w:b/>
          <w:bCs w:val="0"/>
          <w:color w:val="auto"/>
          <w:kern w:val="2"/>
          <w:sz w:val="52"/>
          <w:szCs w:val="52"/>
          <w:lang w:val="en-US" w:eastAsia="zh-CN" w:bidi="ar"/>
        </w:rPr>
      </w:pPr>
    </w:p>
    <w:p>
      <w:pPr>
        <w:keepNext w:val="0"/>
        <w:keepLines w:val="0"/>
        <w:widowControl w:val="0"/>
        <w:suppressLineNumbers w:val="0"/>
        <w:spacing w:before="0" w:beforeLines="0" w:beforeAutospacing="0" w:after="0" w:afterLines="0" w:afterAutospacing="0" w:line="578" w:lineRule="exact"/>
        <w:ind w:left="0" w:right="0"/>
        <w:jc w:val="center"/>
        <w:rPr>
          <w:rFonts w:hint="eastAsia" w:ascii="宋体" w:hAnsi="宋体" w:eastAsia="宋体" w:cs="宋体"/>
          <w:b/>
          <w:bCs w:val="0"/>
          <w:color w:val="auto"/>
          <w:kern w:val="2"/>
          <w:sz w:val="52"/>
          <w:szCs w:val="52"/>
        </w:rPr>
      </w:pPr>
      <w:r>
        <w:rPr>
          <w:rFonts w:hint="eastAsia" w:ascii="宋体" w:hAnsi="宋体" w:eastAsia="宋体" w:cs="宋体"/>
          <w:b/>
          <w:bCs w:val="0"/>
          <w:color w:val="auto"/>
          <w:kern w:val="2"/>
          <w:sz w:val="52"/>
          <w:szCs w:val="52"/>
          <w:lang w:val="en-US" w:eastAsia="zh-CN" w:bidi="ar"/>
        </w:rPr>
        <w:t>三亚市城市超级大脑项目运营服务</w:t>
      </w:r>
    </w:p>
    <w:p>
      <w:pPr>
        <w:keepNext w:val="0"/>
        <w:keepLines w:val="0"/>
        <w:widowControl w:val="0"/>
        <w:suppressLineNumbers w:val="0"/>
        <w:spacing w:before="0" w:beforeLines="0" w:beforeAutospacing="0" w:after="0" w:afterLines="0" w:afterAutospacing="0" w:line="578" w:lineRule="exact"/>
        <w:ind w:left="0" w:right="0"/>
        <w:jc w:val="center"/>
        <w:rPr>
          <w:rFonts w:hint="eastAsia" w:ascii="宋体" w:hAnsi="宋体" w:eastAsia="宋体" w:cs="宋体"/>
          <w:b/>
          <w:bCs w:val="0"/>
          <w:color w:val="auto"/>
          <w:kern w:val="2"/>
          <w:sz w:val="52"/>
          <w:szCs w:val="52"/>
        </w:rPr>
      </w:pPr>
      <w:r>
        <w:rPr>
          <w:rFonts w:hint="eastAsia" w:ascii="宋体" w:hAnsi="宋体" w:eastAsia="宋体" w:cs="宋体"/>
          <w:b/>
          <w:bCs w:val="0"/>
          <w:color w:val="auto"/>
          <w:kern w:val="2"/>
          <w:sz w:val="52"/>
          <w:szCs w:val="52"/>
          <w:lang w:val="en-US" w:eastAsia="zh-CN" w:bidi="ar"/>
        </w:rPr>
        <w:t>（第一期）招标代理机构比选招募</w:t>
      </w:r>
    </w:p>
    <w:p>
      <w:pPr>
        <w:keepNext w:val="0"/>
        <w:keepLines w:val="0"/>
        <w:widowControl w:val="0"/>
        <w:suppressLineNumbers w:val="0"/>
        <w:overflowPunct w:val="0"/>
        <w:spacing w:before="0" w:beforeLines="0" w:beforeAutospacing="0" w:after="0" w:afterLines="0" w:afterAutospacing="0" w:line="578" w:lineRule="exact"/>
        <w:ind w:left="0" w:right="0"/>
        <w:jc w:val="center"/>
        <w:rPr>
          <w:rFonts w:hint="eastAsia" w:ascii="宋体" w:hAnsi="宋体" w:eastAsia="宋体" w:cs="宋体"/>
          <w:b/>
          <w:bCs w:val="0"/>
          <w:color w:val="auto"/>
          <w:kern w:val="2"/>
          <w:sz w:val="44"/>
          <w:szCs w:val="44"/>
        </w:rPr>
      </w:pPr>
      <w:r>
        <w:rPr>
          <w:rFonts w:hint="eastAsia" w:ascii="宋体" w:hAnsi="宋体" w:eastAsia="宋体" w:cs="宋体"/>
          <w:b/>
          <w:bCs w:val="0"/>
          <w:color w:val="auto"/>
          <w:kern w:val="2"/>
          <w:sz w:val="44"/>
          <w:szCs w:val="44"/>
          <w:lang w:val="en-US" w:eastAsia="zh-CN" w:bidi="ar"/>
        </w:rPr>
        <w:t xml:space="preserve"> （第三次）</w:t>
      </w:r>
    </w:p>
    <w:p>
      <w:pPr>
        <w:keepNext w:val="0"/>
        <w:keepLines w:val="0"/>
        <w:widowControl w:val="0"/>
        <w:suppressLineNumbers w:val="0"/>
        <w:overflowPunct w:val="0"/>
        <w:spacing w:before="0" w:beforeLines="0" w:beforeAutospacing="0" w:after="0" w:afterLines="0" w:afterAutospacing="0" w:line="578" w:lineRule="exact"/>
        <w:ind w:left="0" w:right="0"/>
        <w:jc w:val="center"/>
        <w:rPr>
          <w:rFonts w:hint="eastAsia" w:ascii="宋体" w:hAnsi="宋体" w:eastAsia="宋体" w:cs="宋体"/>
          <w:b/>
          <w:bCs w:val="0"/>
          <w:color w:val="auto"/>
          <w:kern w:val="2"/>
          <w:sz w:val="44"/>
          <w:szCs w:val="44"/>
        </w:rPr>
      </w:pPr>
      <w:r>
        <w:rPr>
          <w:rFonts w:hint="eastAsia" w:ascii="宋体" w:hAnsi="宋体" w:eastAsia="宋体" w:cs="宋体"/>
          <w:b/>
          <w:bCs w:val="0"/>
          <w:color w:val="auto"/>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bCs/>
          <w:color w:val="auto"/>
          <w:kern w:val="2"/>
          <w:sz w:val="52"/>
          <w:szCs w:val="52"/>
        </w:rPr>
      </w:pPr>
      <w:r>
        <w:rPr>
          <w:rFonts w:hint="eastAsia" w:ascii="Calibri" w:hAnsi="Calibri" w:eastAsia="宋体" w:cs="Times New Roman"/>
          <w:b/>
          <w:bCs/>
          <w:color w:val="auto"/>
          <w:kern w:val="2"/>
          <w:sz w:val="52"/>
          <w:szCs w:val="52"/>
          <w:lang w:val="en-US" w:eastAsia="zh-CN" w:bidi="ar"/>
        </w:rPr>
        <w:t xml:space="preserve"> </w:t>
      </w:r>
      <w:bookmarkStart w:id="10" w:name="_GoBack"/>
      <w:bookmarkEnd w:id="10"/>
    </w:p>
    <w:p>
      <w:pPr>
        <w:jc w:val="center"/>
        <w:rPr>
          <w:rFonts w:hint="eastAsia"/>
          <w:color w:val="auto"/>
        </w:rPr>
      </w:pPr>
      <w:r>
        <w:rPr>
          <w:rFonts w:hint="eastAsia"/>
          <w:b/>
          <w:bCs/>
          <w:color w:val="auto"/>
          <w:sz w:val="72"/>
          <w:szCs w:val="72"/>
          <w:lang w:val="en-US" w:eastAsia="zh-CN"/>
        </w:rPr>
        <w:t>采购需求文件</w:t>
      </w:r>
    </w:p>
    <w:p>
      <w:pPr>
        <w:rPr>
          <w:rFonts w:hint="eastAsia"/>
          <w:color w:val="auto"/>
        </w:rPr>
      </w:pPr>
      <w:r>
        <w:rPr>
          <w:rFonts w:hint="eastAsia"/>
          <w:color w:val="auto"/>
          <w:lang w:val="en-US" w:eastAsia="zh-CN"/>
        </w:rPr>
        <w:t xml:space="preserve"> </w:t>
      </w:r>
    </w:p>
    <w:p>
      <w:pPr>
        <w:pStyle w:val="9"/>
        <w:keepNext w:val="0"/>
        <w:keepLines w:val="0"/>
        <w:widowControl w:val="0"/>
        <w:suppressLineNumbers w:val="0"/>
        <w:spacing w:before="0" w:beforeLines="0" w:beforeAutospacing="0" w:after="120" w:afterLines="0" w:afterAutospacing="0" w:line="578" w:lineRule="exact"/>
        <w:ind w:left="0" w:leftChars="0" w:right="0" w:firstLine="0" w:firstLineChars="0"/>
        <w:jc w:val="both"/>
        <w:rPr>
          <w:rFonts w:hint="eastAsia" w:ascii="宋体" w:hAnsi="宋体" w:eastAsia="宋体" w:cs="宋体"/>
          <w:color w:val="auto"/>
          <w:kern w:val="2"/>
          <w:sz w:val="16"/>
          <w:szCs w:val="16"/>
          <w:lang w:val="en-US" w:eastAsia="zh-CN" w:bidi="ar"/>
        </w:rPr>
      </w:pPr>
      <w:r>
        <w:rPr>
          <w:rFonts w:hint="eastAsia" w:ascii="宋体" w:hAnsi="宋体" w:eastAsia="宋体" w:cs="宋体"/>
          <w:color w:val="auto"/>
          <w:kern w:val="2"/>
          <w:sz w:val="16"/>
          <w:szCs w:val="16"/>
          <w:lang w:val="en-US" w:eastAsia="zh-CN" w:bidi="ar"/>
        </w:rPr>
        <w:t xml:space="preserve"> </w:t>
      </w:r>
    </w:p>
    <w:p>
      <w:pPr>
        <w:pStyle w:val="9"/>
        <w:keepNext w:val="0"/>
        <w:keepLines w:val="0"/>
        <w:widowControl w:val="0"/>
        <w:suppressLineNumbers w:val="0"/>
        <w:spacing w:before="0" w:beforeLines="0" w:beforeAutospacing="0" w:after="120" w:afterLines="0" w:afterAutospacing="0" w:line="578" w:lineRule="exact"/>
        <w:ind w:left="0" w:leftChars="0" w:right="0" w:firstLine="0" w:firstLineChars="0"/>
        <w:jc w:val="both"/>
        <w:rPr>
          <w:rFonts w:hint="eastAsia" w:ascii="宋体" w:hAnsi="宋体" w:eastAsia="宋体" w:cs="宋体"/>
          <w:color w:val="auto"/>
          <w:kern w:val="2"/>
          <w:sz w:val="16"/>
          <w:szCs w:val="16"/>
          <w:lang w:val="en-US" w:eastAsia="zh-CN" w:bidi="ar"/>
        </w:rPr>
      </w:pPr>
    </w:p>
    <w:p>
      <w:pPr>
        <w:keepNext w:val="0"/>
        <w:keepLines w:val="0"/>
        <w:widowControl w:val="0"/>
        <w:suppressLineNumbers w:val="0"/>
        <w:overflowPunct w:val="0"/>
        <w:spacing w:before="0" w:beforeLines="0" w:beforeAutospacing="0" w:after="0" w:afterLines="0" w:afterAutospacing="0" w:line="578" w:lineRule="exact"/>
        <w:ind w:left="0" w:leftChars="0" w:right="0" w:firstLine="0" w:firstLineChars="0"/>
        <w:jc w:val="both"/>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项目名称：三亚市城市超级大脑项目运营服务（第一期）招标代理机构比选招募（第三次）</w:t>
      </w:r>
    </w:p>
    <w:p>
      <w:pPr>
        <w:keepNext w:val="0"/>
        <w:keepLines w:val="0"/>
        <w:widowControl w:val="0"/>
        <w:suppressLineNumbers w:val="0"/>
        <w:overflowPunct w:val="0"/>
        <w:spacing w:before="0" w:beforeLines="0" w:beforeAutospacing="0" w:after="0" w:afterLines="0" w:afterAutospacing="0" w:line="578" w:lineRule="exact"/>
        <w:ind w:left="1600" w:leftChars="762" w:right="0" w:firstLine="0" w:firstLineChars="0"/>
        <w:jc w:val="left"/>
        <w:rPr>
          <w:rFonts w:hint="eastAsia" w:ascii="宋体" w:hAnsi="宋体" w:eastAsia="宋体" w:cs="宋体"/>
          <w:b/>
          <w:bCs w:val="0"/>
          <w:spacing w:val="-20"/>
          <w:kern w:val="2"/>
          <w:sz w:val="32"/>
          <w:szCs w:val="32"/>
          <w:u w:val="single"/>
        </w:rPr>
      </w:pPr>
    </w:p>
    <w:p>
      <w:pPr>
        <w:keepNext w:val="0"/>
        <w:keepLines w:val="0"/>
        <w:widowControl w:val="0"/>
        <w:suppressLineNumbers w:val="0"/>
        <w:overflowPunct w:val="0"/>
        <w:spacing w:before="0" w:beforeLines="0" w:beforeAutospacing="0" w:after="0" w:afterLines="0" w:afterAutospacing="0" w:line="578" w:lineRule="exact"/>
        <w:ind w:left="0" w:right="0"/>
        <w:jc w:val="left"/>
        <w:rPr>
          <w:rFonts w:hint="eastAsia" w:ascii="宋体" w:hAnsi="宋体" w:eastAsia="宋体" w:cs="宋体"/>
          <w:b/>
          <w:bCs w:val="0"/>
          <w:kern w:val="2"/>
          <w:sz w:val="32"/>
          <w:szCs w:val="32"/>
          <w:u w:val="single"/>
        </w:rPr>
      </w:pPr>
      <w:r>
        <w:rPr>
          <w:rFonts w:hint="eastAsia" w:ascii="宋体" w:hAnsi="宋体" w:eastAsia="宋体" w:cs="宋体"/>
          <w:b/>
          <w:bCs w:val="0"/>
          <w:kern w:val="2"/>
          <w:sz w:val="32"/>
          <w:szCs w:val="32"/>
          <w:lang w:val="en-US" w:eastAsia="zh-CN" w:bidi="ar"/>
        </w:rPr>
        <w:t>采 购 人：</w:t>
      </w:r>
      <w:r>
        <w:rPr>
          <w:rFonts w:hint="eastAsia" w:ascii="宋体" w:hAnsi="宋体" w:eastAsia="宋体" w:cs="宋体"/>
          <w:b/>
          <w:bCs w:val="0"/>
          <w:kern w:val="2"/>
          <w:sz w:val="32"/>
          <w:szCs w:val="32"/>
          <w:u w:val="single"/>
          <w:lang w:val="en-US" w:eastAsia="zh-CN" w:bidi="ar"/>
        </w:rPr>
        <w:t>三亚科创投资控股有限公司</w:t>
      </w:r>
    </w:p>
    <w:p>
      <w:pPr>
        <w:keepNext w:val="0"/>
        <w:keepLines w:val="0"/>
        <w:widowControl w:val="0"/>
        <w:suppressLineNumbers w:val="0"/>
        <w:overflowPunct w:val="0"/>
        <w:spacing w:before="0" w:beforeLines="0" w:beforeAutospacing="0" w:after="0" w:afterLines="0" w:afterAutospacing="0" w:line="578" w:lineRule="exact"/>
        <w:ind w:left="0" w:right="0"/>
        <w:jc w:val="center"/>
        <w:rPr>
          <w:rFonts w:hint="eastAsia" w:ascii="宋体" w:hAnsi="宋体" w:eastAsia="宋体" w:cs="宋体"/>
          <w:kern w:val="2"/>
          <w:sz w:val="32"/>
          <w:szCs w:val="32"/>
        </w:rPr>
      </w:pPr>
      <w:r>
        <w:rPr>
          <w:rFonts w:hint="eastAsia" w:ascii="宋体" w:hAnsi="宋体" w:eastAsia="宋体" w:cs="宋体"/>
          <w:kern w:val="2"/>
          <w:sz w:val="32"/>
          <w:szCs w:val="32"/>
          <w:lang w:val="en-US" w:eastAsia="zh-CN" w:bidi="ar"/>
        </w:rPr>
        <w:t xml:space="preserve"> </w:t>
      </w:r>
    </w:p>
    <w:p>
      <w:pPr>
        <w:pStyle w:val="9"/>
        <w:keepNext w:val="0"/>
        <w:keepLines w:val="0"/>
        <w:widowControl w:val="0"/>
        <w:suppressLineNumbers w:val="0"/>
        <w:spacing w:before="0" w:beforeLines="0" w:beforeAutospacing="0" w:after="120" w:afterLines="0" w:afterAutospacing="0" w:line="578" w:lineRule="exact"/>
        <w:ind w:left="0" w:leftChars="0" w:right="0"/>
        <w:jc w:val="both"/>
        <w:rPr>
          <w:rFonts w:hint="eastAsia" w:ascii="宋体" w:hAnsi="宋体" w:eastAsia="宋体" w:cs="宋体"/>
          <w:b/>
          <w:bCs w:val="0"/>
          <w:kern w:val="2"/>
          <w:sz w:val="28"/>
          <w:szCs w:val="28"/>
        </w:rPr>
      </w:pPr>
      <w:r>
        <w:rPr>
          <w:rFonts w:hint="eastAsia" w:ascii="宋体" w:hAnsi="宋体" w:eastAsia="宋体" w:cs="宋体"/>
          <w:b/>
          <w:bCs w:val="0"/>
          <w:kern w:val="2"/>
          <w:sz w:val="28"/>
          <w:szCs w:val="28"/>
          <w:lang w:val="en-US" w:eastAsia="zh-CN" w:bidi="ar"/>
        </w:rPr>
        <w:t xml:space="preserve"> </w:t>
      </w:r>
    </w:p>
    <w:p>
      <w:pPr>
        <w:keepNext w:val="0"/>
        <w:keepLines w:val="0"/>
        <w:widowControl w:val="0"/>
        <w:suppressLineNumbers w:val="0"/>
        <w:spacing w:before="0" w:beforeLines="0" w:beforeAutospacing="0" w:after="0" w:afterLines="0" w:afterAutospacing="0" w:line="578" w:lineRule="exact"/>
        <w:ind w:left="0" w:right="0"/>
        <w:jc w:val="center"/>
        <w:rPr>
          <w:rFonts w:hint="eastAsia" w:ascii="宋体" w:hAnsi="宋体" w:eastAsia="宋体" w:cs="宋体"/>
          <w:b/>
          <w:bCs w:val="0"/>
          <w:kern w:val="2"/>
          <w:sz w:val="28"/>
          <w:szCs w:val="28"/>
        </w:rPr>
      </w:pPr>
      <w:r>
        <w:rPr>
          <w:rFonts w:hint="eastAsia" w:ascii="宋体" w:hAnsi="宋体" w:eastAsia="宋体" w:cs="宋体"/>
          <w:b/>
          <w:bCs w:val="0"/>
          <w:kern w:val="2"/>
          <w:sz w:val="28"/>
          <w:szCs w:val="28"/>
          <w:lang w:val="en-US" w:eastAsia="zh-CN" w:bidi="ar"/>
        </w:rPr>
        <w:t xml:space="preserve"> </w:t>
      </w:r>
    </w:p>
    <w:p>
      <w:pPr>
        <w:keepNext w:val="0"/>
        <w:keepLines w:val="0"/>
        <w:widowControl w:val="0"/>
        <w:suppressLineNumbers w:val="0"/>
        <w:spacing w:before="0" w:beforeLines="0" w:beforeAutospacing="0" w:after="0" w:afterLines="0" w:afterAutospacing="0" w:line="578" w:lineRule="exact"/>
        <w:ind w:left="0" w:right="0"/>
        <w:jc w:val="center"/>
        <w:rPr>
          <w:rFonts w:hint="eastAsia" w:ascii="宋体" w:hAnsi="宋体" w:eastAsia="宋体" w:cs="宋体"/>
          <w:b/>
          <w:bCs w:val="0"/>
          <w:kern w:val="2"/>
          <w:sz w:val="32"/>
          <w:szCs w:val="32"/>
        </w:rPr>
      </w:pPr>
      <w:r>
        <w:rPr>
          <w:rFonts w:hint="eastAsia" w:ascii="宋体" w:hAnsi="宋体" w:eastAsia="宋体" w:cs="宋体"/>
          <w:b/>
          <w:bCs w:val="0"/>
          <w:kern w:val="2"/>
          <w:sz w:val="32"/>
          <w:szCs w:val="32"/>
          <w:lang w:val="en-US" w:eastAsia="zh-CN" w:bidi="ar"/>
        </w:rPr>
        <w:t>三亚科创投资控股有限公司</w:t>
      </w:r>
    </w:p>
    <w:p>
      <w:pPr>
        <w:keepNext w:val="0"/>
        <w:keepLines w:val="0"/>
        <w:widowControl w:val="0"/>
        <w:suppressLineNumbers w:val="0"/>
        <w:spacing w:before="0" w:beforeLines="0" w:beforeAutospacing="0" w:after="0" w:afterLines="0" w:afterAutospacing="0" w:line="578" w:lineRule="exact"/>
        <w:ind w:left="0" w:right="0"/>
        <w:jc w:val="center"/>
        <w:rPr>
          <w:rFonts w:hint="eastAsia" w:ascii="宋体" w:hAnsi="宋体" w:eastAsia="宋体" w:cs="宋体"/>
          <w:b/>
          <w:bCs w:val="0"/>
          <w:kern w:val="2"/>
          <w:sz w:val="32"/>
          <w:szCs w:val="32"/>
        </w:rPr>
      </w:pPr>
      <w:r>
        <w:rPr>
          <w:rFonts w:hint="eastAsia" w:ascii="宋体" w:hAnsi="宋体" w:eastAsia="宋体" w:cs="宋体"/>
          <w:b/>
          <w:bCs w:val="0"/>
          <w:kern w:val="2"/>
          <w:sz w:val="32"/>
          <w:szCs w:val="32"/>
          <w:lang w:val="en-US" w:eastAsia="zh-CN" w:bidi="ar"/>
        </w:rPr>
        <w:t>2023年12月</w:t>
      </w:r>
    </w:p>
    <w:p>
      <w:pPr>
        <w:spacing w:beforeLines="0" w:beforeAutospacing="0" w:afterLines="0" w:afterAutospacing="0" w:line="578" w:lineRule="exact"/>
        <w:rPr>
          <w:rFonts w:hint="eastAsia" w:ascii="宋体" w:hAnsi="宋体" w:eastAsia="宋体" w:cs="宋体"/>
          <w:kern w:val="2"/>
          <w:sz w:val="32"/>
          <w:szCs w:val="32"/>
        </w:rPr>
        <w:sectPr>
          <w:pgSz w:w="12242" w:h="15842"/>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outlineLvl w:val="9"/>
        <w:rPr>
          <w:rFonts w:hint="eastAsia" w:ascii="宋体" w:hAnsi="宋体" w:eastAsia="宋体" w:cs="宋体"/>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三亚市城市超级大脑项目运营服务（第一期）招标代理机构比选招募（第三次）</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宋体" w:hAnsi="宋体" w:eastAsia="宋体" w:cs="宋体"/>
          <w:b/>
          <w:bCs/>
          <w:color w:val="auto"/>
          <w:sz w:val="48"/>
          <w:szCs w:val="48"/>
          <w:highlight w:val="none"/>
        </w:rPr>
      </w:pPr>
      <w:r>
        <w:rPr>
          <w:rFonts w:hint="eastAsia" w:ascii="宋体" w:hAnsi="宋体" w:eastAsia="宋体" w:cs="宋体"/>
          <w:b/>
          <w:bCs/>
          <w:color w:val="auto"/>
          <w:sz w:val="44"/>
          <w:szCs w:val="44"/>
          <w:highlight w:val="none"/>
          <w:lang w:val="en-US" w:eastAsia="zh-CN"/>
        </w:rPr>
        <w:t>采购需求</w:t>
      </w:r>
      <w:r>
        <w:rPr>
          <w:rFonts w:hint="eastAsia" w:ascii="宋体" w:hAnsi="宋体" w:eastAsia="宋体" w:cs="宋体"/>
          <w:b/>
          <w:bCs/>
          <w:color w:val="auto"/>
          <w:sz w:val="44"/>
          <w:szCs w:val="44"/>
          <w:highlight w:val="none"/>
        </w:rPr>
        <w:t>文件</w:t>
      </w:r>
    </w:p>
    <w:p>
      <w:pPr>
        <w:spacing w:line="578" w:lineRule="exact"/>
        <w:jc w:val="both"/>
        <w:rPr>
          <w:rFonts w:hint="eastAsia" w:ascii="宋体" w:hAnsi="宋体" w:eastAsia="宋体" w:cs="宋体"/>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三亚科创投资控股有限公司现就</w:t>
      </w:r>
      <w:r>
        <w:rPr>
          <w:rFonts w:hint="eastAsia" w:ascii="宋体" w:hAnsi="宋体" w:eastAsia="宋体" w:cs="宋体"/>
          <w:color w:val="auto"/>
          <w:kern w:val="0"/>
          <w:sz w:val="24"/>
          <w:szCs w:val="24"/>
          <w:highlight w:val="none"/>
          <w:u w:val="single"/>
          <w:lang w:val="en-US" w:eastAsia="zh-CN" w:bidi="ar-SA"/>
        </w:rPr>
        <w:t>三亚市城市超级大脑项目运营服务（第一期）招标代理机构进行比选招募</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诚邀请合格的招标代理机构前来参加。</w:t>
      </w:r>
    </w:p>
    <w:p>
      <w:pPr>
        <w:pStyle w:val="2"/>
        <w:spacing w:line="578" w:lineRule="exact"/>
        <w:rPr>
          <w:rFonts w:hint="eastAsia" w:ascii="宋体" w:hAnsi="宋体" w:eastAsia="宋体" w:cs="宋体"/>
          <w:color w:val="auto"/>
          <w:highlight w:val="none"/>
        </w:rPr>
      </w:pPr>
      <w:r>
        <w:rPr>
          <w:rFonts w:hint="eastAsia" w:ascii="宋体" w:hAnsi="宋体" w:eastAsia="宋体" w:cs="宋体"/>
          <w:color w:val="auto"/>
          <w:highlight w:val="none"/>
        </w:rPr>
        <w:t>一、项目名称</w:t>
      </w:r>
    </w:p>
    <w:p>
      <w:pPr>
        <w:pStyle w:val="2"/>
        <w:spacing w:line="578"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三亚市城市超级大脑项目运营服务（第一期）招标代理机构比选招募（第三次）</w:t>
      </w:r>
    </w:p>
    <w:p>
      <w:pPr>
        <w:pStyle w:val="2"/>
        <w:spacing w:line="578" w:lineRule="exact"/>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highlight w:val="none"/>
          <w:lang w:eastAsia="zh-CN"/>
        </w:rPr>
        <w:t>委托人</w:t>
      </w:r>
      <w:r>
        <w:rPr>
          <w:rFonts w:hint="eastAsia" w:ascii="宋体" w:hAnsi="宋体" w:eastAsia="宋体" w:cs="宋体"/>
          <w:color w:val="auto"/>
          <w:highlight w:val="none"/>
        </w:rPr>
        <w:t>及采购预算金额</w:t>
      </w:r>
    </w:p>
    <w:p>
      <w:pPr>
        <w:pStyle w:val="13"/>
        <w:spacing w:line="578" w:lineRule="exact"/>
        <w:ind w:firstLine="480"/>
        <w:rPr>
          <w:rFonts w:hint="eastAsia" w:eastAsia="宋体"/>
          <w:color w:val="auto"/>
          <w:highlight w:val="none"/>
          <w:lang w:val="en-US" w:eastAsia="zh-CN"/>
        </w:rPr>
      </w:pPr>
      <w:r>
        <w:rPr>
          <w:rFonts w:hint="eastAsia" w:eastAsia="宋体"/>
          <w:color w:val="auto"/>
          <w:highlight w:val="none"/>
          <w:lang w:eastAsia="zh-CN"/>
        </w:rPr>
        <w:t>委托人</w:t>
      </w:r>
      <w:r>
        <w:rPr>
          <w:rFonts w:hint="eastAsia" w:eastAsia="宋体"/>
          <w:color w:val="auto"/>
          <w:highlight w:val="none"/>
        </w:rPr>
        <w:t>：</w:t>
      </w:r>
      <w:r>
        <w:rPr>
          <w:rFonts w:hint="eastAsia" w:eastAsia="宋体"/>
          <w:color w:val="auto"/>
          <w:highlight w:val="none"/>
          <w:lang w:val="en-US" w:eastAsia="zh-CN"/>
        </w:rPr>
        <w:t>三亚科创投资控股有限公司</w:t>
      </w:r>
    </w:p>
    <w:p>
      <w:pPr>
        <w:pStyle w:val="13"/>
        <w:spacing w:line="578" w:lineRule="exact"/>
        <w:ind w:left="0" w:leftChars="0" w:firstLine="480" w:firstLineChars="200"/>
        <w:rPr>
          <w:rFonts w:hint="eastAsia" w:eastAsia="宋体"/>
          <w:color w:val="auto"/>
          <w:highlight w:val="none"/>
          <w:lang w:eastAsia="zh-CN"/>
        </w:rPr>
      </w:pPr>
      <w:r>
        <w:rPr>
          <w:rFonts w:hint="eastAsia" w:eastAsia="宋体"/>
          <w:color w:val="auto"/>
          <w:highlight w:val="none"/>
          <w:lang w:val="en-US" w:eastAsia="zh-CN"/>
        </w:rPr>
        <w:t>招标代理费报价</w:t>
      </w:r>
      <w:r>
        <w:rPr>
          <w:rFonts w:hint="eastAsia" w:eastAsia="宋体"/>
          <w:color w:val="auto"/>
          <w:highlight w:val="none"/>
        </w:rPr>
        <w:t>：</w:t>
      </w:r>
      <w:r>
        <w:rPr>
          <w:rFonts w:hint="eastAsia" w:eastAsia="宋体"/>
          <w:color w:val="auto"/>
          <w:highlight w:val="none"/>
          <w:lang w:val="en-US" w:eastAsia="zh-CN"/>
        </w:rPr>
        <w:t>8</w:t>
      </w:r>
      <w:r>
        <w:rPr>
          <w:rFonts w:hint="eastAsia" w:eastAsia="宋体"/>
          <w:color w:val="auto"/>
          <w:highlight w:val="none"/>
          <w:lang w:val="en-US" w:eastAsia="zh-CN"/>
        </w:rPr>
        <w:t>万元</w:t>
      </w:r>
      <w:r>
        <w:rPr>
          <w:rFonts w:hint="eastAsia" w:eastAsia="宋体"/>
          <w:color w:val="auto"/>
          <w:highlight w:val="none"/>
        </w:rPr>
        <w:t>。超出</w:t>
      </w:r>
      <w:r>
        <w:rPr>
          <w:rFonts w:hint="eastAsia" w:eastAsia="宋体"/>
          <w:color w:val="auto"/>
          <w:highlight w:val="none"/>
          <w:lang w:val="en-US" w:eastAsia="zh-CN"/>
        </w:rPr>
        <w:t>以上标准收费</w:t>
      </w:r>
      <w:r>
        <w:rPr>
          <w:rFonts w:hint="eastAsia" w:eastAsia="宋体"/>
          <w:color w:val="auto"/>
          <w:highlight w:val="none"/>
        </w:rPr>
        <w:t>的报价，按无效报价处理</w:t>
      </w:r>
      <w:r>
        <w:rPr>
          <w:rFonts w:hint="eastAsia" w:eastAsia="宋体"/>
          <w:color w:val="auto"/>
          <w:highlight w:val="none"/>
          <w:lang w:eastAsia="zh-CN"/>
        </w:rPr>
        <w:t>。</w:t>
      </w:r>
    </w:p>
    <w:p>
      <w:pPr>
        <w:pStyle w:val="13"/>
        <w:spacing w:line="578" w:lineRule="exact"/>
        <w:rPr>
          <w:rFonts w:hint="eastAsia" w:eastAsia="宋体"/>
          <w:color w:val="auto"/>
          <w:highlight w:val="none"/>
          <w:lang w:val="en-US" w:eastAsia="zh-CN"/>
        </w:rPr>
      </w:pPr>
      <w:r>
        <w:rPr>
          <w:rFonts w:hint="eastAsia" w:eastAsia="宋体"/>
          <w:color w:val="auto"/>
          <w:highlight w:val="none"/>
          <w:lang w:val="en-US" w:eastAsia="zh-CN"/>
        </w:rPr>
        <w:t>备注：实际收取招标代理费金额：</w:t>
      </w:r>
      <w:r>
        <w:rPr>
          <w:rFonts w:hint="eastAsia" w:eastAsia="宋体"/>
          <w:color w:val="auto"/>
          <w:highlight w:val="none"/>
        </w:rPr>
        <w:t>按照</w:t>
      </w:r>
      <w:r>
        <w:rPr>
          <w:rFonts w:hint="eastAsia" w:ascii="宋体" w:hAnsi="宋体" w:eastAsia="宋体" w:cs="宋体"/>
          <w:b w:val="0"/>
          <w:bCs/>
          <w:color w:val="auto"/>
          <w:kern w:val="0"/>
          <w:sz w:val="24"/>
          <w:szCs w:val="24"/>
          <w:highlight w:val="none"/>
          <w:lang w:val="en-US" w:eastAsia="zh-CN" w:bidi="ar-SA"/>
        </w:rPr>
        <w:t>三亚市城市超级大脑项目运营服务（第一期）公开招标项目的</w:t>
      </w:r>
      <w:r>
        <w:rPr>
          <w:rFonts w:hint="eastAsia" w:eastAsia="宋体"/>
          <w:color w:val="auto"/>
          <w:highlight w:val="none"/>
        </w:rPr>
        <w:t>实际</w:t>
      </w:r>
      <w:r>
        <w:rPr>
          <w:rFonts w:hint="eastAsia" w:eastAsia="宋体"/>
          <w:color w:val="auto"/>
          <w:highlight w:val="none"/>
          <w:lang w:val="en-US" w:eastAsia="zh-CN"/>
        </w:rPr>
        <w:t>中标</w:t>
      </w:r>
      <w:r>
        <w:rPr>
          <w:rFonts w:hint="eastAsia" w:eastAsia="宋体"/>
          <w:color w:val="auto"/>
          <w:highlight w:val="none"/>
        </w:rPr>
        <w:t>金额</w:t>
      </w:r>
      <w:r>
        <w:rPr>
          <w:rFonts w:hint="eastAsia" w:eastAsia="宋体"/>
          <w:color w:val="auto"/>
          <w:highlight w:val="none"/>
          <w:lang w:eastAsia="zh-CN"/>
        </w:rPr>
        <w:t>，</w:t>
      </w:r>
      <w:r>
        <w:rPr>
          <w:rFonts w:hint="eastAsia" w:eastAsia="宋体"/>
          <w:color w:val="auto"/>
          <w:highlight w:val="none"/>
          <w:lang w:val="en-US" w:eastAsia="zh-CN"/>
        </w:rPr>
        <w:t>必须按照</w:t>
      </w:r>
      <w:r>
        <w:rPr>
          <w:rFonts w:hint="eastAsia" w:eastAsia="宋体"/>
          <w:color w:val="auto"/>
          <w:highlight w:val="none"/>
        </w:rPr>
        <w:t>国家计委计价格[2002]1980号文规定的收费标准</w:t>
      </w:r>
      <w:r>
        <w:rPr>
          <w:rFonts w:hint="eastAsia" w:eastAsia="宋体"/>
          <w:color w:val="auto"/>
          <w:highlight w:val="none"/>
          <w:lang w:val="en-US" w:eastAsia="zh-CN"/>
        </w:rPr>
        <w:t>范围</w:t>
      </w:r>
      <w:r>
        <w:rPr>
          <w:rFonts w:hint="eastAsia" w:eastAsia="宋体"/>
          <w:color w:val="auto"/>
          <w:highlight w:val="none"/>
          <w:lang w:eastAsia="zh-CN"/>
        </w:rPr>
        <w:t>，以中标金额下浮率进行报价。</w:t>
      </w:r>
      <w:r>
        <w:rPr>
          <w:rFonts w:hint="eastAsia" w:eastAsia="宋体"/>
          <w:color w:val="auto"/>
          <w:highlight w:val="none"/>
          <w:lang w:val="en-US" w:eastAsia="zh-CN"/>
        </w:rPr>
        <w:t>超出</w:t>
      </w:r>
      <w:r>
        <w:rPr>
          <w:rFonts w:hint="eastAsia" w:eastAsia="宋体"/>
          <w:color w:val="auto"/>
          <w:highlight w:val="none"/>
        </w:rPr>
        <w:t>收费标准</w:t>
      </w:r>
      <w:r>
        <w:rPr>
          <w:rFonts w:hint="eastAsia" w:eastAsia="宋体"/>
          <w:color w:val="auto"/>
          <w:highlight w:val="none"/>
          <w:lang w:eastAsia="zh-CN"/>
        </w:rPr>
        <w:t>上下浮动幅度</w:t>
      </w:r>
      <w:r>
        <w:rPr>
          <w:rFonts w:hint="eastAsia" w:eastAsia="宋体"/>
          <w:color w:val="auto"/>
          <w:highlight w:val="none"/>
        </w:rPr>
        <w:t>的报价，按无效报价处理</w:t>
      </w:r>
      <w:r>
        <w:rPr>
          <w:rFonts w:hint="eastAsia" w:eastAsia="宋体"/>
          <w:color w:val="auto"/>
          <w:highlight w:val="none"/>
          <w:lang w:eastAsia="zh-CN"/>
        </w:rPr>
        <w:t>。</w:t>
      </w:r>
    </w:p>
    <w:p>
      <w:pPr>
        <w:pStyle w:val="2"/>
        <w:spacing w:line="578"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三、采购方式</w:t>
      </w:r>
      <w:r>
        <w:rPr>
          <w:rFonts w:hint="eastAsia" w:ascii="宋体" w:hAnsi="宋体" w:eastAsia="宋体" w:cs="宋体"/>
          <w:color w:val="auto"/>
          <w:highlight w:val="none"/>
          <w:lang w:val="en-US" w:eastAsia="zh-CN"/>
        </w:rPr>
        <w:t>和选择办法</w:t>
      </w:r>
    </w:p>
    <w:p>
      <w:pPr>
        <w:pStyle w:val="13"/>
        <w:spacing w:line="578" w:lineRule="exact"/>
        <w:ind w:firstLine="480"/>
        <w:rPr>
          <w:rFonts w:hint="eastAsia" w:eastAsia="宋体"/>
          <w:color w:val="auto"/>
          <w:highlight w:val="none"/>
        </w:rPr>
      </w:pPr>
      <w:r>
        <w:rPr>
          <w:rFonts w:hint="eastAsia" w:eastAsia="宋体"/>
          <w:color w:val="auto"/>
          <w:highlight w:val="none"/>
        </w:rPr>
        <w:t>采购方式：</w:t>
      </w:r>
      <w:r>
        <w:rPr>
          <w:rFonts w:hint="eastAsia" w:eastAsia="宋体"/>
          <w:color w:val="auto"/>
          <w:highlight w:val="none"/>
          <w:lang w:val="en-US" w:eastAsia="zh-CN"/>
        </w:rPr>
        <w:t>询价/比选</w:t>
      </w:r>
      <w:r>
        <w:rPr>
          <w:rFonts w:hint="eastAsia" w:eastAsia="宋体"/>
          <w:color w:val="auto"/>
          <w:highlight w:val="none"/>
        </w:rPr>
        <w:t>。</w:t>
      </w:r>
    </w:p>
    <w:p>
      <w:pPr>
        <w:pStyle w:val="13"/>
        <w:spacing w:line="578" w:lineRule="exact"/>
        <w:ind w:firstLine="480"/>
        <w:rPr>
          <w:rFonts w:hint="eastAsia" w:eastAsia="宋体"/>
          <w:color w:val="auto"/>
          <w:highlight w:val="none"/>
          <w:lang w:eastAsia="zh-CN"/>
        </w:rPr>
      </w:pPr>
      <w:r>
        <w:rPr>
          <w:rFonts w:hint="eastAsia" w:eastAsia="宋体"/>
          <w:color w:val="auto"/>
          <w:highlight w:val="none"/>
        </w:rPr>
        <w:t>选择办法</w:t>
      </w:r>
      <w:r>
        <w:rPr>
          <w:rFonts w:hint="eastAsia" w:eastAsia="宋体"/>
          <w:color w:val="auto"/>
          <w:highlight w:val="none"/>
          <w:lang w:eastAsia="zh-CN"/>
        </w:rPr>
        <w:t>：</w:t>
      </w:r>
      <w:r>
        <w:rPr>
          <w:rFonts w:hint="eastAsia" w:eastAsia="宋体"/>
          <w:color w:val="auto"/>
          <w:highlight w:val="none"/>
        </w:rPr>
        <w:t>对</w:t>
      </w:r>
      <w:r>
        <w:rPr>
          <w:rFonts w:hint="eastAsia" w:eastAsia="宋体"/>
          <w:color w:val="auto"/>
          <w:highlight w:val="none"/>
          <w:lang w:val="en-US" w:eastAsia="zh-CN"/>
        </w:rPr>
        <w:t>符合资格条件的代理机构的有效报价（下浮率）、类似业绩、本地化服务能力、招标代理实施方案等内容进行综合比选评分</w:t>
      </w:r>
      <w:r>
        <w:rPr>
          <w:rFonts w:hint="eastAsia" w:eastAsia="宋体"/>
          <w:color w:val="auto"/>
          <w:highlight w:val="none"/>
        </w:rPr>
        <w:t>，择优</w:t>
      </w:r>
      <w:r>
        <w:rPr>
          <w:rFonts w:hint="eastAsia" w:eastAsia="宋体"/>
          <w:color w:val="auto"/>
          <w:highlight w:val="none"/>
          <w:lang w:val="en-US" w:eastAsia="zh-CN"/>
        </w:rPr>
        <w:t>选取一家</w:t>
      </w:r>
      <w:r>
        <w:rPr>
          <w:rFonts w:hint="eastAsia" w:eastAsia="宋体"/>
          <w:color w:val="auto"/>
          <w:highlight w:val="none"/>
        </w:rPr>
        <w:t>中标</w:t>
      </w:r>
      <w:r>
        <w:rPr>
          <w:rFonts w:hint="eastAsia" w:eastAsia="宋体"/>
          <w:color w:val="auto"/>
          <w:highlight w:val="none"/>
          <w:lang w:eastAsia="zh-CN"/>
        </w:rPr>
        <w:t>人。</w:t>
      </w:r>
    </w:p>
    <w:p>
      <w:pPr>
        <w:pStyle w:val="2"/>
        <w:spacing w:line="578"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四、</w:t>
      </w:r>
      <w:r>
        <w:rPr>
          <w:rFonts w:hint="eastAsia" w:ascii="宋体" w:hAnsi="宋体" w:eastAsia="宋体" w:cs="宋体"/>
          <w:color w:val="auto"/>
          <w:highlight w:val="none"/>
          <w:lang w:val="en-US" w:eastAsia="zh-CN"/>
        </w:rPr>
        <w:t>服务范围</w:t>
      </w:r>
    </w:p>
    <w:p>
      <w:pPr>
        <w:pStyle w:val="13"/>
        <w:spacing w:line="578" w:lineRule="exact"/>
        <w:ind w:firstLine="480"/>
        <w:rPr>
          <w:rFonts w:hint="eastAsia" w:eastAsia="宋体"/>
          <w:color w:val="auto"/>
          <w:highlight w:val="none"/>
          <w:lang w:val="en-US" w:eastAsia="zh-CN"/>
        </w:rPr>
      </w:pPr>
      <w:r>
        <w:rPr>
          <w:rFonts w:hint="eastAsia" w:eastAsia="宋体"/>
          <w:color w:val="auto"/>
          <w:highlight w:val="none"/>
          <w:lang w:val="en-US" w:eastAsia="zh-CN"/>
        </w:rPr>
        <w:t>承担本项目</w:t>
      </w:r>
      <w:r>
        <w:rPr>
          <w:rFonts w:hint="eastAsia" w:ascii="宋体" w:hAnsi="宋体" w:eastAsia="宋体" w:cs="宋体"/>
          <w:color w:val="auto"/>
          <w:kern w:val="0"/>
          <w:sz w:val="24"/>
          <w:szCs w:val="24"/>
          <w:highlight w:val="none"/>
          <w:lang w:val="en-US" w:eastAsia="zh-CN" w:bidi="ar-SA"/>
        </w:rPr>
        <w:t>三亚市城市超级大脑项目运营服务（第一期）招标代理工作，具体以合同签订的内容为准。</w:t>
      </w:r>
    </w:p>
    <w:p>
      <w:pPr>
        <w:pStyle w:val="2"/>
        <w:spacing w:line="578" w:lineRule="exact"/>
        <w:rPr>
          <w:rFonts w:hint="eastAsia" w:ascii="宋体" w:hAnsi="宋体" w:eastAsia="宋体" w:cs="宋体"/>
          <w:color w:val="auto"/>
          <w:highlight w:val="none"/>
        </w:rPr>
      </w:pPr>
      <w:r>
        <w:rPr>
          <w:rFonts w:hint="eastAsia" w:ascii="宋体" w:hAnsi="宋体" w:eastAsia="宋体" w:cs="宋体"/>
          <w:color w:val="auto"/>
          <w:highlight w:val="none"/>
        </w:rPr>
        <w:t>五、项目</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地点</w:t>
      </w:r>
    </w:p>
    <w:p>
      <w:pPr>
        <w:pStyle w:val="13"/>
        <w:spacing w:line="578" w:lineRule="exact"/>
        <w:ind w:firstLine="480"/>
        <w:rPr>
          <w:rFonts w:hint="eastAsia" w:eastAsia="宋体"/>
          <w:color w:val="auto"/>
          <w:highlight w:val="none"/>
        </w:rPr>
      </w:pPr>
      <w:r>
        <w:rPr>
          <w:rFonts w:hint="eastAsia" w:eastAsia="宋体"/>
          <w:color w:val="auto"/>
          <w:highlight w:val="none"/>
          <w:lang w:val="en-US" w:eastAsia="zh-CN"/>
        </w:rPr>
        <w:t>三亚市</w:t>
      </w:r>
    </w:p>
    <w:p>
      <w:pPr>
        <w:pStyle w:val="2"/>
        <w:spacing w:line="578"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六、</w:t>
      </w:r>
      <w:r>
        <w:rPr>
          <w:rFonts w:hint="eastAsia" w:ascii="宋体" w:hAnsi="宋体" w:eastAsia="宋体" w:cs="宋体"/>
          <w:color w:val="auto"/>
          <w:highlight w:val="none"/>
          <w:lang w:val="en-US" w:eastAsia="zh-CN"/>
        </w:rPr>
        <w:t>服务期限</w:t>
      </w:r>
    </w:p>
    <w:p>
      <w:pPr>
        <w:spacing w:line="578"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1、服务期限：合同签订之日起至完成合同要求的所有招标代理工作。</w:t>
      </w:r>
    </w:p>
    <w:p>
      <w:pPr>
        <w:ind w:firstLine="420"/>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2、付款方式：根据双方签订的合同约定执行。</w:t>
      </w:r>
    </w:p>
    <w:p>
      <w:pPr>
        <w:pStyle w:val="2"/>
        <w:spacing w:line="578" w:lineRule="exact"/>
        <w:rPr>
          <w:rFonts w:hint="eastAsia" w:ascii="宋体" w:hAnsi="宋体" w:eastAsia="宋体" w:cs="宋体"/>
          <w:color w:val="auto"/>
          <w:highlight w:val="none"/>
        </w:rPr>
      </w:pPr>
      <w:r>
        <w:rPr>
          <w:rFonts w:hint="eastAsia" w:ascii="宋体" w:hAnsi="宋体" w:eastAsia="宋体" w:cs="宋体"/>
          <w:color w:val="auto"/>
          <w:highlight w:val="none"/>
        </w:rPr>
        <w:t>七、</w:t>
      </w:r>
      <w:r>
        <w:rPr>
          <w:rFonts w:hint="eastAsia" w:ascii="宋体" w:hAnsi="宋体" w:eastAsia="宋体" w:cs="宋体"/>
          <w:color w:val="auto"/>
          <w:highlight w:val="none"/>
          <w:lang w:val="en-US" w:eastAsia="zh-CN"/>
        </w:rPr>
        <w:t>招标代理</w:t>
      </w:r>
      <w:r>
        <w:rPr>
          <w:rFonts w:hint="eastAsia" w:ascii="宋体" w:hAnsi="宋体" w:eastAsia="宋体" w:cs="宋体"/>
          <w:color w:val="auto"/>
          <w:highlight w:val="none"/>
        </w:rPr>
        <w:t>资格要求</w:t>
      </w:r>
    </w:p>
    <w:p>
      <w:pPr>
        <w:spacing w:line="578"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1.符合《政府采购法》第二十二条规定；</w:t>
      </w:r>
    </w:p>
    <w:p>
      <w:pPr>
        <w:spacing w:line="578"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2.在“信用中国”网站（www.creditchina.gov.cn）、中国政府采购网（www.ccgp.gov.cn）没有列入失信被执行人、重大税收违法失信主体、政府采购严重违法失信行为记录名单（需提供发布采购文件后至</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递交截至时间前的信用查询结果网页截图、信用报告并加盖单位公章）。</w:t>
      </w:r>
    </w:p>
    <w:p>
      <w:pPr>
        <w:pStyle w:val="13"/>
        <w:spacing w:line="578"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在中华人民共和国境内注册、具有独立承担民事责任的能力（提供营业执照或事业单位法人证书）；</w:t>
      </w:r>
      <w:r>
        <w:rPr>
          <w:rFonts w:hint="eastAsia" w:eastAsia="宋体"/>
          <w:color w:val="auto"/>
          <w:highlight w:val="none"/>
        </w:rPr>
        <w:t>具有履行合同所必需的设备和专业技术能力；具有依法缴纳税收和社会保障资金的良好记录（提供202</w:t>
      </w:r>
      <w:r>
        <w:rPr>
          <w:rFonts w:hint="eastAsia" w:eastAsia="宋体"/>
          <w:color w:val="auto"/>
          <w:highlight w:val="none"/>
          <w:lang w:val="en-US" w:eastAsia="zh-CN"/>
        </w:rPr>
        <w:t>3</w:t>
      </w:r>
      <w:r>
        <w:rPr>
          <w:rFonts w:hint="eastAsia" w:eastAsia="宋体"/>
          <w:color w:val="auto"/>
          <w:highlight w:val="none"/>
        </w:rPr>
        <w:t>年</w:t>
      </w:r>
      <w:r>
        <w:rPr>
          <w:rFonts w:hint="eastAsia" w:eastAsia="宋体"/>
          <w:color w:val="auto"/>
          <w:highlight w:val="none"/>
          <w:lang w:val="en-US" w:eastAsia="zh-CN"/>
        </w:rPr>
        <w:t>以来</w:t>
      </w:r>
      <w:r>
        <w:rPr>
          <w:rFonts w:hint="eastAsia" w:eastAsia="宋体"/>
          <w:color w:val="auto"/>
          <w:highlight w:val="none"/>
        </w:rPr>
        <w:t>任意一个月纳税、社保记录凭证并加盖公章）；参加政府采购活动前三年内，在经营活动中没有重大违法记录（成立不足三年的从成立之日起计算）</w:t>
      </w:r>
      <w:r>
        <w:rPr>
          <w:rFonts w:hint="eastAsia" w:eastAsia="宋体" w:cs="宋体"/>
          <w:color w:val="auto"/>
          <w:kern w:val="0"/>
          <w:highlight w:val="none"/>
        </w:rPr>
        <w:t>。</w:t>
      </w:r>
    </w:p>
    <w:p>
      <w:pPr>
        <w:spacing w:line="578"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单位负责人</w:t>
      </w:r>
      <w:r>
        <w:rPr>
          <w:rFonts w:hint="eastAsia" w:ascii="宋体" w:hAnsi="宋体" w:eastAsia="宋体" w:cs="宋体"/>
          <w:color w:val="auto"/>
          <w:sz w:val="24"/>
          <w:highlight w:val="none"/>
          <w:lang w:val="en-US" w:eastAsia="zh-CN"/>
        </w:rPr>
        <w:t>或法定代表人或公司实际控制人</w:t>
      </w:r>
      <w:r>
        <w:rPr>
          <w:rFonts w:hint="eastAsia" w:ascii="宋体" w:hAnsi="宋体" w:eastAsia="宋体" w:cs="宋体"/>
          <w:color w:val="auto"/>
          <w:sz w:val="24"/>
          <w:highlight w:val="none"/>
          <w:lang w:eastAsia="zh-CN"/>
        </w:rPr>
        <w:t>为同一人或者存在直接控股、 管理关系的不同代理机构，</w:t>
      </w:r>
      <w:r>
        <w:rPr>
          <w:rFonts w:hint="eastAsia" w:ascii="宋体" w:hAnsi="宋体" w:eastAsia="宋体" w:cs="宋体"/>
          <w:color w:val="auto"/>
          <w:sz w:val="24"/>
          <w:highlight w:val="none"/>
          <w:lang w:val="en-US" w:eastAsia="zh-CN"/>
        </w:rPr>
        <w:t>或者构成关联企业的不同代理机构</w:t>
      </w:r>
      <w:r>
        <w:rPr>
          <w:rFonts w:hint="eastAsia" w:ascii="宋体" w:hAnsi="宋体" w:eastAsia="宋体" w:cs="宋体"/>
          <w:color w:val="auto"/>
          <w:sz w:val="24"/>
          <w:highlight w:val="none"/>
          <w:lang w:eastAsia="zh-CN"/>
        </w:rPr>
        <w:t>，不得参加同一合同项下的采购活动。</w:t>
      </w:r>
    </w:p>
    <w:p>
      <w:pPr>
        <w:spacing w:line="578"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本项目的特定资格要求：</w:t>
      </w:r>
    </w:p>
    <w:p>
      <w:pPr>
        <w:spacing w:line="578"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在海南省公共资源交易平台及海南省政府采购网登记备案，（须提供海南省公共资源交易平台</w:t>
      </w:r>
      <w:bookmarkStart w:id="0" w:name="_Hlk61259154"/>
      <w:r>
        <w:rPr>
          <w:rFonts w:hint="eastAsia" w:ascii="宋体" w:hAnsi="宋体" w:eastAsia="宋体" w:cs="宋体"/>
          <w:color w:val="auto"/>
          <w:sz w:val="24"/>
          <w:highlight w:val="none"/>
        </w:rPr>
        <w:t>http://</w:t>
      </w:r>
      <w:bookmarkEnd w:id="0"/>
      <w:r>
        <w:rPr>
          <w:rFonts w:hint="eastAsia" w:ascii="宋体" w:hAnsi="宋体" w:eastAsia="宋体" w:cs="宋体"/>
          <w:color w:val="auto"/>
          <w:sz w:val="24"/>
          <w:highlight w:val="none"/>
        </w:rPr>
        <w:t>zw.hainan.gov.cn/ggzy/及海南省政府采购网http://www.ccgp-hainan.gov.cn/，主体信息页面中本单位所在页面截图并加盖单位公章）；</w:t>
      </w:r>
    </w:p>
    <w:p>
      <w:pPr>
        <w:spacing w:line="578"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.符合国家法律、行政法规的规定及</w:t>
      </w:r>
      <w:r>
        <w:rPr>
          <w:rFonts w:hint="eastAsia" w:ascii="宋体" w:hAnsi="宋体" w:eastAsia="宋体" w:cs="宋体"/>
          <w:color w:val="auto"/>
          <w:sz w:val="24"/>
          <w:highlight w:val="none"/>
          <w:lang w:val="en-US" w:eastAsia="zh-CN"/>
        </w:rPr>
        <w:t>比选招募</w:t>
      </w:r>
      <w:r>
        <w:rPr>
          <w:rFonts w:hint="eastAsia" w:ascii="宋体" w:hAnsi="宋体" w:eastAsia="宋体" w:cs="宋体"/>
          <w:color w:val="auto"/>
          <w:sz w:val="24"/>
          <w:highlight w:val="none"/>
        </w:rPr>
        <w:t>文件的要求。</w:t>
      </w:r>
    </w:p>
    <w:p>
      <w:pPr>
        <w:tabs>
          <w:tab w:val="left" w:pos="720"/>
          <w:tab w:val="left" w:pos="900"/>
        </w:tabs>
        <w:spacing w:line="578"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7.提供有效报价</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代理机构</w:t>
      </w:r>
      <w:r>
        <w:rPr>
          <w:rFonts w:hint="eastAsia" w:ascii="宋体" w:hAnsi="宋体" w:eastAsia="宋体" w:cs="宋体"/>
          <w:color w:val="auto"/>
          <w:sz w:val="24"/>
          <w:highlight w:val="none"/>
        </w:rPr>
        <w:t>必须提交以上相关证明材料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未按照要求提供报价的代理机构视为无效投标</w:t>
      </w:r>
      <w:r>
        <w:rPr>
          <w:rFonts w:hint="eastAsia" w:ascii="宋体" w:hAnsi="宋体" w:eastAsia="宋体" w:cs="宋体"/>
          <w:color w:val="auto"/>
          <w:sz w:val="24"/>
          <w:highlight w:val="none"/>
        </w:rPr>
        <w:t>。</w:t>
      </w:r>
    </w:p>
    <w:p>
      <w:pPr>
        <w:pStyle w:val="13"/>
        <w:spacing w:line="578" w:lineRule="exact"/>
        <w:ind w:firstLine="480"/>
        <w:rPr>
          <w:rFonts w:hint="eastAsia" w:ascii="宋体" w:hAnsi="宋体" w:eastAsia="宋体" w:cs="宋体"/>
          <w:color w:val="auto"/>
          <w:kern w:val="0"/>
          <w:sz w:val="24"/>
          <w:szCs w:val="24"/>
          <w:highlight w:val="none"/>
          <w:lang w:val="en-US" w:eastAsia="zh-CN" w:bidi="ar-SA"/>
        </w:rPr>
      </w:pPr>
      <w:r>
        <w:rPr>
          <w:rFonts w:hint="eastAsia" w:eastAsia="宋体" w:cs="宋体"/>
          <w:color w:val="auto"/>
          <w:kern w:val="2"/>
          <w:sz w:val="24"/>
          <w:szCs w:val="24"/>
          <w:highlight w:val="none"/>
          <w:lang w:val="en-US" w:eastAsia="zh-CN" w:bidi="ar-SA"/>
        </w:rPr>
        <w:t>8.</w:t>
      </w:r>
      <w:r>
        <w:rPr>
          <w:rFonts w:hint="eastAsia" w:ascii="宋体" w:hAnsi="宋体" w:eastAsia="宋体" w:cs="宋体"/>
          <w:color w:val="auto"/>
          <w:kern w:val="0"/>
          <w:sz w:val="24"/>
          <w:szCs w:val="24"/>
          <w:highlight w:val="none"/>
          <w:lang w:val="en-US" w:eastAsia="zh-CN" w:bidi="ar-SA"/>
        </w:rPr>
        <w:t>如出现下列情况之一，本次采购终止：</w:t>
      </w:r>
    </w:p>
    <w:p>
      <w:pPr>
        <w:pStyle w:val="13"/>
        <w:spacing w:line="578" w:lineRule="exact"/>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（1）递交</w:t>
      </w:r>
      <w:r>
        <w:rPr>
          <w:rFonts w:hint="eastAsia" w:eastAsia="宋体" w:cs="宋体"/>
          <w:color w:val="auto"/>
          <w:kern w:val="0"/>
          <w:sz w:val="24"/>
          <w:szCs w:val="24"/>
          <w:highlight w:val="none"/>
          <w:lang w:val="en-US" w:eastAsia="zh-CN" w:bidi="ar-SA"/>
        </w:rPr>
        <w:t>响应文件</w:t>
      </w:r>
      <w:r>
        <w:rPr>
          <w:rFonts w:hint="eastAsia" w:ascii="宋体" w:hAnsi="宋体" w:eastAsia="宋体" w:cs="宋体"/>
          <w:color w:val="auto"/>
          <w:kern w:val="0"/>
          <w:sz w:val="24"/>
          <w:szCs w:val="24"/>
          <w:highlight w:val="none"/>
          <w:lang w:val="en-US" w:eastAsia="zh-CN" w:bidi="ar-SA"/>
        </w:rPr>
        <w:t>后符合资格条件的报价人（不含无效报价）不足三家的；</w:t>
      </w:r>
    </w:p>
    <w:p>
      <w:pPr>
        <w:pStyle w:val="13"/>
        <w:spacing w:line="578" w:lineRule="exact"/>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（2）出现影响采购工作的违法、违规行为；</w:t>
      </w:r>
    </w:p>
    <w:p>
      <w:pPr>
        <w:pStyle w:val="13"/>
        <w:spacing w:line="578" w:lineRule="exact"/>
        <w:ind w:firstLine="48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（3）因出现重大变故，需调整或取消采购任务的。</w:t>
      </w:r>
    </w:p>
    <w:p>
      <w:pPr>
        <w:pStyle w:val="13"/>
        <w:spacing w:line="578" w:lineRule="exact"/>
        <w:ind w:firstLine="480"/>
        <w:rPr>
          <w:rFonts w:hint="eastAsia" w:eastAsia="宋体" w:cs="宋体"/>
          <w:color w:val="auto"/>
          <w:kern w:val="0"/>
          <w:sz w:val="24"/>
          <w:szCs w:val="24"/>
          <w:highlight w:val="none"/>
          <w:lang w:val="en-US" w:eastAsia="zh-CN" w:bidi="ar-SA"/>
        </w:rPr>
      </w:pPr>
      <w:r>
        <w:rPr>
          <w:rFonts w:hint="eastAsia" w:eastAsia="宋体" w:cs="宋体"/>
          <w:color w:val="auto"/>
          <w:kern w:val="0"/>
          <w:sz w:val="24"/>
          <w:szCs w:val="24"/>
          <w:highlight w:val="none"/>
          <w:lang w:val="en-US" w:eastAsia="zh-CN" w:bidi="ar-SA"/>
        </w:rPr>
        <w:t>9.</w:t>
      </w:r>
      <w:r>
        <w:rPr>
          <w:rFonts w:hint="eastAsia" w:eastAsia="宋体"/>
          <w:color w:val="auto"/>
          <w:highlight w:val="none"/>
          <w:lang w:val="en-US" w:eastAsia="zh-CN"/>
        </w:rPr>
        <w:t>参与本项目的代理机构需要在三亚市阳光招采平台（https://syzdprocurement.com/）上完成代理机构信息的注册。</w:t>
      </w:r>
      <w:r>
        <w:rPr>
          <w:rFonts w:hint="eastAsia" w:eastAsia="宋体" w:cs="宋体"/>
          <w:color w:val="auto"/>
          <w:kern w:val="0"/>
          <w:sz w:val="24"/>
          <w:szCs w:val="24"/>
          <w:highlight w:val="none"/>
          <w:lang w:val="en-US" w:eastAsia="zh-CN" w:bidi="ar-SA"/>
        </w:rPr>
        <w:t>平台技术人员联系人及联系方式：黎工，电话17689869262。</w:t>
      </w:r>
    </w:p>
    <w:p>
      <w:pPr>
        <w:pStyle w:val="2"/>
        <w:spacing w:line="578" w:lineRule="exact"/>
        <w:rPr>
          <w:rFonts w:hint="eastAsia" w:ascii="宋体" w:hAnsi="宋体" w:eastAsia="宋体" w:cs="宋体"/>
          <w:color w:val="auto"/>
          <w:highlight w:val="none"/>
        </w:rPr>
      </w:pPr>
      <w:r>
        <w:rPr>
          <w:rFonts w:hint="eastAsia" w:ascii="宋体" w:hAnsi="宋体" w:eastAsia="宋体" w:cs="宋体"/>
          <w:color w:val="auto"/>
          <w:highlight w:val="none"/>
        </w:rPr>
        <w:t>八、采购需求</w:t>
      </w:r>
    </w:p>
    <w:p>
      <w:pPr>
        <w:pStyle w:val="3"/>
        <w:spacing w:line="578" w:lineRule="exact"/>
        <w:jc w:val="both"/>
        <w:outlineLvl w:val="1"/>
        <w:rPr>
          <w:rFonts w:hint="eastAsia" w:ascii="宋体" w:hAnsi="宋体" w:eastAsia="宋体" w:cs="宋体"/>
          <w:color w:val="auto"/>
          <w:highlight w:val="none"/>
          <w:lang w:val="en-US"/>
        </w:rPr>
      </w:pPr>
      <w:r>
        <w:rPr>
          <w:rFonts w:hint="eastAsia" w:ascii="宋体" w:hAnsi="宋体" w:eastAsia="宋体" w:cs="宋体"/>
          <w:color w:val="auto"/>
          <w:highlight w:val="none"/>
        </w:rPr>
        <w:t>8.</w:t>
      </w:r>
      <w:r>
        <w:rPr>
          <w:rFonts w:hint="eastAsia" w:ascii="宋体" w:hAnsi="宋体" w:eastAsia="宋体" w:cs="宋体"/>
          <w:color w:val="auto"/>
          <w:highlight w:val="none"/>
          <w:lang w:val="en-US" w:eastAsia="zh-CN"/>
        </w:rPr>
        <w:t xml:space="preserve">1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lang w:val="en-US" w:eastAsia="zh-CN"/>
        </w:rPr>
        <w:t>要求</w:t>
      </w:r>
    </w:p>
    <w:p>
      <w:pPr>
        <w:pStyle w:val="14"/>
        <w:spacing w:line="578" w:lineRule="exact"/>
        <w:rPr>
          <w:rFonts w:hint="eastAsia" w:eastAsia="宋体" w:cs="宋体"/>
          <w:color w:val="auto"/>
          <w:highlight w:val="none"/>
        </w:rPr>
      </w:pPr>
      <w:r>
        <w:rPr>
          <w:rFonts w:hint="eastAsia" w:eastAsia="宋体" w:cs="宋体"/>
          <w:color w:val="auto"/>
          <w:highlight w:val="none"/>
          <w:lang w:val="en-US" w:eastAsia="zh-CN"/>
        </w:rPr>
        <w:t>1</w:t>
      </w:r>
      <w:r>
        <w:rPr>
          <w:rFonts w:hint="eastAsia" w:eastAsia="宋体" w:cs="宋体"/>
          <w:color w:val="auto"/>
          <w:highlight w:val="none"/>
        </w:rPr>
        <w:t>.招标代理机构应按约定的时间和要求完成下列工作（包含但不限于）：</w:t>
      </w:r>
    </w:p>
    <w:p>
      <w:pPr>
        <w:pStyle w:val="14"/>
        <w:spacing w:line="578" w:lineRule="exact"/>
        <w:rPr>
          <w:rFonts w:hint="eastAsia" w:eastAsia="宋体" w:cs="宋体"/>
          <w:color w:val="auto"/>
          <w:highlight w:val="none"/>
        </w:rPr>
      </w:pPr>
      <w:r>
        <w:rPr>
          <w:rFonts w:hint="eastAsia" w:eastAsia="宋体" w:cs="宋体"/>
          <w:color w:val="auto"/>
          <w:highlight w:val="none"/>
        </w:rPr>
        <w:t>(1)拟定招标方案；(2)发布招标公告；(3)编制招标文件（不含工程量清单编制）并报送委托人审核并报主管单位审批；(4)组织招标文件评审会议；(5)发售招标文件；(6)组织参与现场踏勘和投标预备会(如有)；(7)草拟并发送补遗书；(8)组织开标、评标等会务工作；(9)协助编制评标报告；(10)协助委托人办理招标所需的备案手续；(11)整理归档招标资料；(12)协助委托人签订合同。</w:t>
      </w:r>
    </w:p>
    <w:p>
      <w:pPr>
        <w:pStyle w:val="14"/>
        <w:spacing w:line="578" w:lineRule="exact"/>
        <w:rPr>
          <w:rFonts w:hint="eastAsia" w:eastAsia="宋体" w:cs="宋体"/>
          <w:color w:val="auto"/>
          <w:highlight w:val="none"/>
        </w:rPr>
      </w:pPr>
      <w:r>
        <w:rPr>
          <w:rFonts w:hint="eastAsia" w:eastAsia="宋体" w:cs="宋体"/>
          <w:color w:val="auto"/>
          <w:highlight w:val="none"/>
          <w:lang w:val="en-US" w:eastAsia="zh-CN"/>
        </w:rPr>
        <w:t>2</w:t>
      </w:r>
      <w:r>
        <w:rPr>
          <w:rFonts w:hint="eastAsia" w:eastAsia="宋体" w:cs="宋体"/>
          <w:color w:val="auto"/>
          <w:highlight w:val="none"/>
        </w:rPr>
        <w:t>.招标代理机构应按时保质提供招标文件及委托方要求的相关资料，并对质量和准确性负责。</w:t>
      </w:r>
    </w:p>
    <w:p>
      <w:pPr>
        <w:pStyle w:val="14"/>
        <w:spacing w:line="578" w:lineRule="exact"/>
        <w:rPr>
          <w:rFonts w:hint="eastAsia" w:eastAsia="宋体" w:cs="宋体"/>
          <w:color w:val="auto"/>
          <w:highlight w:val="none"/>
        </w:rPr>
      </w:pPr>
      <w:r>
        <w:rPr>
          <w:rFonts w:hint="eastAsia" w:eastAsia="宋体" w:cs="宋体"/>
          <w:color w:val="auto"/>
          <w:highlight w:val="none"/>
        </w:rPr>
        <w:t>3.招标代理机构应认真研究委托方提供的招标所需背景情况、资料、技术和商务要求、招标预算或最高限价及其他具体要求，以及招标投标法和有关法律法规的相关规定，向委托方提出咨询意见及合理化建议等。</w:t>
      </w:r>
    </w:p>
    <w:p>
      <w:pPr>
        <w:pStyle w:val="14"/>
        <w:spacing w:line="578" w:lineRule="exact"/>
        <w:ind w:firstLine="477" w:firstLineChars="199"/>
        <w:rPr>
          <w:rFonts w:hint="eastAsia" w:eastAsia="宋体" w:cs="宋体"/>
          <w:color w:val="auto"/>
          <w:highlight w:val="none"/>
        </w:rPr>
      </w:pPr>
      <w:r>
        <w:rPr>
          <w:rFonts w:hint="eastAsia" w:eastAsia="宋体" w:cs="宋体"/>
          <w:color w:val="auto"/>
          <w:highlight w:val="none"/>
          <w:lang w:val="en-US" w:eastAsia="zh-CN"/>
        </w:rPr>
        <w:t>4</w:t>
      </w:r>
      <w:r>
        <w:rPr>
          <w:rFonts w:hint="eastAsia" w:eastAsia="宋体" w:cs="宋体"/>
          <w:color w:val="auto"/>
          <w:highlight w:val="none"/>
        </w:rPr>
        <w:t>.其他要求</w:t>
      </w:r>
    </w:p>
    <w:p>
      <w:pPr>
        <w:pStyle w:val="14"/>
        <w:spacing w:line="578" w:lineRule="exact"/>
        <w:rPr>
          <w:rFonts w:hint="eastAsia" w:eastAsia="宋体" w:cs="宋体"/>
          <w:color w:val="auto"/>
          <w:highlight w:val="none"/>
        </w:rPr>
      </w:pPr>
      <w:r>
        <w:rPr>
          <w:rFonts w:hint="eastAsia" w:eastAsia="宋体" w:cs="宋体"/>
          <w:color w:val="auto"/>
          <w:highlight w:val="none"/>
        </w:rPr>
        <w:t>（1）报价要求：报价应为因执行本项目所产生的一切费用的包干总价。</w:t>
      </w:r>
    </w:p>
    <w:p>
      <w:pPr>
        <w:pStyle w:val="14"/>
        <w:spacing w:line="578" w:lineRule="exact"/>
        <w:rPr>
          <w:rFonts w:hint="eastAsia" w:eastAsia="宋体" w:cs="宋体"/>
          <w:color w:val="auto"/>
          <w:highlight w:val="none"/>
        </w:rPr>
      </w:pPr>
      <w:r>
        <w:rPr>
          <w:rFonts w:hint="eastAsia" w:eastAsia="宋体" w:cs="宋体"/>
          <w:color w:val="auto"/>
          <w:highlight w:val="none"/>
        </w:rPr>
        <w:t>（2）保密要求：招标代理机构对委托人提供的信息及有关资料文件应尽保密义务；</w:t>
      </w:r>
    </w:p>
    <w:p>
      <w:pPr>
        <w:pStyle w:val="2"/>
        <w:spacing w:line="578" w:lineRule="exact"/>
        <w:rPr>
          <w:rFonts w:hint="eastAsia" w:ascii="宋体" w:hAnsi="宋体" w:eastAsia="宋体" w:cs="宋体"/>
          <w:color w:val="auto"/>
          <w:highlight w:val="none"/>
        </w:rPr>
      </w:pPr>
      <w:r>
        <w:rPr>
          <w:rFonts w:hint="eastAsia" w:ascii="宋体" w:hAnsi="宋体" w:eastAsia="宋体" w:cs="宋体"/>
          <w:color w:val="auto"/>
          <w:highlight w:val="none"/>
        </w:rPr>
        <w:t>九、获取采购文件及</w:t>
      </w:r>
      <w:r>
        <w:rPr>
          <w:rFonts w:hint="eastAsia" w:ascii="宋体" w:hAnsi="宋体" w:eastAsia="宋体" w:cs="宋体"/>
          <w:color w:val="auto"/>
          <w:highlight w:val="none"/>
          <w:lang w:val="en-US" w:eastAsia="zh-CN"/>
        </w:rPr>
        <w:t>响应文件</w:t>
      </w:r>
      <w:r>
        <w:rPr>
          <w:rFonts w:hint="eastAsia" w:ascii="宋体" w:hAnsi="宋体" w:eastAsia="宋体" w:cs="宋体"/>
          <w:color w:val="auto"/>
          <w:highlight w:val="none"/>
        </w:rPr>
        <w:t>提交</w:t>
      </w:r>
    </w:p>
    <w:p>
      <w:pPr>
        <w:pStyle w:val="14"/>
        <w:spacing w:line="578" w:lineRule="exact"/>
        <w:ind w:firstLine="482"/>
        <w:rPr>
          <w:rFonts w:hint="eastAsia" w:eastAsia="宋体" w:cs="宋体"/>
          <w:b/>
          <w:bCs/>
          <w:color w:val="auto"/>
          <w:highlight w:val="none"/>
        </w:rPr>
      </w:pPr>
      <w:r>
        <w:rPr>
          <w:rFonts w:hint="eastAsia" w:eastAsia="宋体" w:cs="宋体"/>
          <w:b/>
          <w:bCs/>
          <w:color w:val="auto"/>
          <w:highlight w:val="none"/>
        </w:rPr>
        <w:t>1、获取采购文件</w:t>
      </w:r>
    </w:p>
    <w:p>
      <w:pPr>
        <w:pStyle w:val="13"/>
        <w:spacing w:line="578" w:lineRule="exact"/>
        <w:ind w:firstLine="480"/>
        <w:rPr>
          <w:rFonts w:hint="eastAsia" w:eastAsia="宋体"/>
          <w:color w:val="auto"/>
          <w:highlight w:val="none"/>
        </w:rPr>
      </w:pPr>
      <w:r>
        <w:rPr>
          <w:rFonts w:hint="eastAsia" w:eastAsia="宋体"/>
          <w:color w:val="auto"/>
          <w:highlight w:val="none"/>
        </w:rPr>
        <w:t>时间：202</w:t>
      </w:r>
      <w:r>
        <w:rPr>
          <w:rFonts w:hint="eastAsia" w:eastAsia="宋体"/>
          <w:color w:val="auto"/>
          <w:highlight w:val="none"/>
          <w:lang w:val="en-US" w:eastAsia="zh-CN"/>
        </w:rPr>
        <w:t>3</w:t>
      </w:r>
      <w:r>
        <w:rPr>
          <w:rFonts w:hint="eastAsia" w:eastAsia="宋体"/>
          <w:color w:val="auto"/>
          <w:highlight w:val="none"/>
        </w:rPr>
        <w:t>年</w:t>
      </w:r>
      <w:r>
        <w:rPr>
          <w:rFonts w:hint="eastAsia" w:eastAsia="宋体"/>
          <w:color w:val="auto"/>
          <w:highlight w:val="none"/>
          <w:lang w:val="en-US" w:eastAsia="zh-CN"/>
        </w:rPr>
        <w:t>12</w:t>
      </w:r>
      <w:r>
        <w:rPr>
          <w:rFonts w:hint="eastAsia" w:eastAsia="宋体"/>
          <w:color w:val="auto"/>
          <w:highlight w:val="none"/>
        </w:rPr>
        <w:t>月</w:t>
      </w:r>
      <w:r>
        <w:rPr>
          <w:rFonts w:hint="eastAsia" w:eastAsia="宋体"/>
          <w:color w:val="auto"/>
          <w:highlight w:val="none"/>
          <w:u w:val="single"/>
          <w:lang w:val="en-US" w:eastAsia="zh-CN"/>
        </w:rPr>
        <w:t xml:space="preserve"> 19 </w:t>
      </w:r>
      <w:r>
        <w:rPr>
          <w:rFonts w:hint="eastAsia" w:eastAsia="宋体"/>
          <w:color w:val="auto"/>
          <w:highlight w:val="none"/>
        </w:rPr>
        <w:t>日至202</w:t>
      </w:r>
      <w:r>
        <w:rPr>
          <w:rFonts w:hint="eastAsia" w:eastAsia="宋体"/>
          <w:color w:val="auto"/>
          <w:highlight w:val="none"/>
          <w:lang w:val="en-US" w:eastAsia="zh-CN"/>
        </w:rPr>
        <w:t>3年12</w:t>
      </w:r>
      <w:r>
        <w:rPr>
          <w:rFonts w:hint="eastAsia" w:eastAsia="宋体"/>
          <w:color w:val="auto"/>
          <w:highlight w:val="none"/>
        </w:rPr>
        <w:t>月</w:t>
      </w:r>
      <w:r>
        <w:rPr>
          <w:rFonts w:hint="eastAsia" w:eastAsia="宋体"/>
          <w:color w:val="auto"/>
          <w:highlight w:val="none"/>
          <w:u w:val="single"/>
          <w:lang w:val="en-US" w:eastAsia="zh-CN"/>
        </w:rPr>
        <w:t xml:space="preserve"> 25  </w:t>
      </w:r>
      <w:r>
        <w:rPr>
          <w:rFonts w:hint="eastAsia" w:eastAsia="宋体"/>
          <w:color w:val="auto"/>
          <w:highlight w:val="none"/>
        </w:rPr>
        <w:t>日，每天上午08:30至12:00，下午14:</w:t>
      </w:r>
      <w:r>
        <w:rPr>
          <w:rFonts w:hint="eastAsia" w:eastAsia="宋体"/>
          <w:color w:val="auto"/>
          <w:highlight w:val="none"/>
          <w:lang w:val="en-US" w:eastAsia="zh-CN"/>
        </w:rPr>
        <w:t>3</w:t>
      </w:r>
      <w:r>
        <w:rPr>
          <w:rFonts w:hint="eastAsia" w:eastAsia="宋体"/>
          <w:color w:val="auto"/>
          <w:highlight w:val="none"/>
        </w:rPr>
        <w:t>0至17:30（北京时间，法定节假日除外）</w:t>
      </w:r>
    </w:p>
    <w:p>
      <w:pPr>
        <w:pStyle w:val="9"/>
        <w:keepNext w:val="0"/>
        <w:keepLines w:val="0"/>
        <w:widowControl/>
        <w:suppressLineNumbers w:val="0"/>
        <w:spacing w:before="0" w:beforeAutospacing="0" w:after="0" w:afterAutospacing="0" w:line="578" w:lineRule="exac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地点及方式1：登录三亚科技投资集团有限公司官网的“首页—集团资讯—公示公告”栏目（http://www.syiti.com/Public.html）在线下载采购文件。</w:t>
      </w:r>
    </w:p>
    <w:p>
      <w:pPr>
        <w:pStyle w:val="9"/>
        <w:keepNext w:val="0"/>
        <w:keepLines w:val="0"/>
        <w:widowControl/>
        <w:suppressLineNumbers w:val="0"/>
        <w:spacing w:before="0" w:beforeAutospacing="0" w:after="0" w:afterAutospacing="0" w:line="578" w:lineRule="exact"/>
        <w:ind w:left="0" w:right="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地点及方式2：登录</w:t>
      </w:r>
      <w:r>
        <w:rPr>
          <w:rFonts w:hint="eastAsia" w:ascii="宋体" w:hAnsi="宋体" w:eastAsia="宋体" w:cs="宋体"/>
          <w:color w:val="auto"/>
          <w:sz w:val="24"/>
          <w:szCs w:val="24"/>
          <w:highlight w:val="none"/>
          <w:lang w:val="en-US" w:eastAsia="zh-CN"/>
        </w:rPr>
        <w:t>三亚市阳光招采服务平台</w:t>
      </w:r>
      <w:r>
        <w:rPr>
          <w:rFonts w:hint="eastAsia" w:ascii="宋体" w:hAnsi="宋体" w:eastAsia="宋体" w:cs="宋体"/>
          <w:color w:val="auto"/>
          <w:kern w:val="0"/>
          <w:sz w:val="24"/>
          <w:szCs w:val="24"/>
          <w:highlight w:val="none"/>
          <w:lang w:val="en-US" w:eastAsia="zh-CN" w:bidi="ar-SA"/>
        </w:rPr>
        <w:t>官网的“首页”—项目采购信息—采购公告”栏目（https://syzdprocurement.com/）在线下载采购文件。</w:t>
      </w:r>
    </w:p>
    <w:p>
      <w:pPr>
        <w:pStyle w:val="13"/>
        <w:spacing w:line="578" w:lineRule="exact"/>
        <w:ind w:firstLine="480"/>
        <w:rPr>
          <w:rFonts w:hint="eastAsia" w:eastAsia="宋体"/>
          <w:color w:val="auto"/>
          <w:highlight w:val="none"/>
          <w:lang w:val="en-US" w:eastAsia="zh-CN"/>
        </w:rPr>
      </w:pPr>
      <w:r>
        <w:rPr>
          <w:rFonts w:hint="eastAsia" w:eastAsia="宋体"/>
          <w:color w:val="auto"/>
          <w:highlight w:val="none"/>
          <w:lang w:val="en-US" w:eastAsia="zh-CN"/>
        </w:rPr>
        <w:t>委托人：</w:t>
      </w:r>
      <w:r>
        <w:rPr>
          <w:rFonts w:hint="eastAsia" w:eastAsia="宋体"/>
          <w:color w:val="auto"/>
          <w:highlight w:val="none"/>
        </w:rPr>
        <w:t>三亚</w:t>
      </w:r>
      <w:r>
        <w:rPr>
          <w:rFonts w:hint="eastAsia" w:eastAsia="宋体"/>
          <w:color w:val="auto"/>
          <w:highlight w:val="none"/>
          <w:lang w:val="en-US" w:eastAsia="zh-CN"/>
        </w:rPr>
        <w:t>科创投资控股有限公司</w:t>
      </w:r>
    </w:p>
    <w:p>
      <w:pPr>
        <w:pStyle w:val="13"/>
        <w:spacing w:line="578" w:lineRule="exact"/>
        <w:ind w:firstLine="480"/>
        <w:rPr>
          <w:rFonts w:hint="eastAsia" w:eastAsia="宋体"/>
          <w:color w:val="auto"/>
          <w:highlight w:val="none"/>
          <w:lang w:val="en-US" w:eastAsia="zh-CN"/>
        </w:rPr>
      </w:pPr>
      <w:r>
        <w:rPr>
          <w:rFonts w:hint="eastAsia" w:eastAsia="宋体"/>
          <w:color w:val="auto"/>
          <w:highlight w:val="none"/>
          <w:lang w:val="en-US" w:eastAsia="zh-CN"/>
        </w:rPr>
        <w:t>地址:三亚市吉阳区吉阳大道273号三亚云港园区2号楼4楼</w:t>
      </w:r>
    </w:p>
    <w:p>
      <w:pPr>
        <w:pStyle w:val="13"/>
        <w:spacing w:line="578" w:lineRule="exact"/>
        <w:ind w:firstLine="480"/>
        <w:rPr>
          <w:rFonts w:hint="eastAsia" w:eastAsia="宋体"/>
          <w:color w:val="auto"/>
          <w:highlight w:val="none"/>
          <w:lang w:val="en-US" w:eastAsia="zh-CN"/>
        </w:rPr>
      </w:pPr>
      <w:r>
        <w:rPr>
          <w:rFonts w:hint="eastAsia" w:eastAsia="宋体"/>
          <w:color w:val="auto"/>
          <w:highlight w:val="none"/>
          <w:lang w:val="en-US" w:eastAsia="zh-CN"/>
        </w:rPr>
        <w:t>联系人：</w:t>
      </w:r>
      <w:r>
        <w:rPr>
          <w:rFonts w:hint="eastAsia" w:ascii="宋体" w:hAnsi="宋体" w:eastAsia="宋体" w:cs="宋体"/>
          <w:i w:val="0"/>
          <w:iCs w:val="0"/>
          <w:caps w:val="0"/>
          <w:color w:val="333333"/>
          <w:spacing w:val="0"/>
          <w:sz w:val="24"/>
          <w:szCs w:val="24"/>
          <w:highlight w:val="none"/>
          <w:shd w:val="clear" w:fill="FFFFFF"/>
          <w:lang w:val="en-US" w:eastAsia="zh-CN"/>
        </w:rPr>
        <w:t>栾工，联系电话：15091915283；</w:t>
      </w:r>
      <w:r>
        <w:rPr>
          <w:rFonts w:hint="eastAsia" w:eastAsia="宋体"/>
          <w:color w:val="auto"/>
          <w:highlight w:val="none"/>
          <w:lang w:val="en-US" w:eastAsia="zh-CN"/>
        </w:rPr>
        <w:t>朱工，联系电话：13966117811。</w:t>
      </w:r>
    </w:p>
    <w:p>
      <w:pPr>
        <w:pStyle w:val="13"/>
        <w:spacing w:line="578" w:lineRule="exact"/>
        <w:ind w:firstLine="480"/>
        <w:rPr>
          <w:rFonts w:hint="eastAsia" w:eastAsia="宋体"/>
          <w:b/>
          <w:bCs/>
          <w:color w:val="auto"/>
          <w:highlight w:val="none"/>
          <w:lang w:val="en-US" w:eastAsia="zh-CN"/>
        </w:rPr>
      </w:pPr>
      <w:r>
        <w:rPr>
          <w:rFonts w:hint="eastAsia" w:eastAsia="宋体"/>
          <w:b/>
          <w:bCs/>
          <w:color w:val="auto"/>
          <w:highlight w:val="none"/>
          <w:lang w:val="en-US" w:eastAsia="zh-CN"/>
        </w:rPr>
        <w:t>2</w:t>
      </w:r>
      <w:r>
        <w:rPr>
          <w:rFonts w:hint="eastAsia" w:eastAsia="宋体"/>
          <w:b/>
          <w:bCs/>
          <w:color w:val="auto"/>
          <w:highlight w:val="none"/>
        </w:rPr>
        <w:t>、</w:t>
      </w:r>
      <w:r>
        <w:rPr>
          <w:rFonts w:hint="eastAsia" w:eastAsia="宋体"/>
          <w:b/>
          <w:bCs/>
          <w:color w:val="auto"/>
          <w:highlight w:val="none"/>
          <w:lang w:val="en-US" w:eastAsia="zh-CN"/>
        </w:rPr>
        <w:t>响应文件提交</w:t>
      </w:r>
    </w:p>
    <w:p>
      <w:pPr>
        <w:pStyle w:val="13"/>
        <w:spacing w:line="578" w:lineRule="exact"/>
        <w:ind w:firstLine="480"/>
        <w:rPr>
          <w:rFonts w:hint="eastAsia" w:eastAsia="宋体"/>
          <w:color w:val="auto"/>
          <w:highlight w:val="none"/>
          <w:lang w:val="en-US" w:eastAsia="zh-CN"/>
        </w:rPr>
      </w:pPr>
      <w:r>
        <w:rPr>
          <w:rFonts w:hint="eastAsia" w:eastAsia="宋体"/>
          <w:color w:val="auto"/>
          <w:highlight w:val="none"/>
          <w:lang w:val="en-US" w:eastAsia="zh-CN"/>
        </w:rPr>
        <w:t>（1）响应文件有效期：自响应文件开启之日起30天。</w:t>
      </w:r>
    </w:p>
    <w:p>
      <w:pPr>
        <w:pStyle w:val="13"/>
        <w:spacing w:line="578" w:lineRule="exact"/>
        <w:ind w:firstLine="480"/>
        <w:rPr>
          <w:rFonts w:hint="eastAsia" w:eastAsia="宋体"/>
          <w:color w:val="auto"/>
          <w:highlight w:val="none"/>
          <w:lang w:val="en-US" w:eastAsia="zh-CN"/>
        </w:rPr>
      </w:pPr>
      <w:r>
        <w:rPr>
          <w:rFonts w:hint="eastAsia"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登录</w:t>
      </w:r>
      <w:r>
        <w:rPr>
          <w:rFonts w:hint="eastAsia" w:ascii="宋体" w:hAnsi="宋体" w:eastAsia="宋体" w:cs="宋体"/>
          <w:color w:val="auto"/>
          <w:highlight w:val="none"/>
          <w:lang w:val="en-US" w:eastAsia="zh-CN"/>
        </w:rPr>
        <w:t>三亚市阳光招采服务平台</w:t>
      </w:r>
      <w:r>
        <w:rPr>
          <w:rFonts w:hint="eastAsia" w:ascii="宋体" w:hAnsi="宋体" w:eastAsia="宋体" w:cs="宋体"/>
          <w:color w:val="auto"/>
          <w:kern w:val="0"/>
          <w:sz w:val="24"/>
          <w:szCs w:val="24"/>
          <w:highlight w:val="none"/>
          <w:lang w:val="en-US" w:eastAsia="zh-CN" w:bidi="ar-SA"/>
        </w:rPr>
        <w:t>官网的“首页”—项目采购信息</w:t>
      </w:r>
      <w:r>
        <w:rPr>
          <w:rFonts w:hint="eastAsia" w:eastAsia="宋体" w:cs="宋体"/>
          <w:color w:val="auto"/>
          <w:kern w:val="0"/>
          <w:sz w:val="24"/>
          <w:szCs w:val="24"/>
          <w:highlight w:val="none"/>
          <w:lang w:val="en-US" w:eastAsia="zh-CN" w:bidi="ar-SA"/>
        </w:rPr>
        <w:t>的相关界面，按要求在线上传加密版响应</w:t>
      </w:r>
      <w:r>
        <w:rPr>
          <w:rFonts w:hint="eastAsia" w:ascii="宋体" w:hAnsi="宋体" w:eastAsia="宋体" w:cs="宋体"/>
          <w:color w:val="auto"/>
          <w:kern w:val="0"/>
          <w:sz w:val="24"/>
          <w:szCs w:val="24"/>
          <w:highlight w:val="none"/>
          <w:lang w:val="en-US" w:eastAsia="zh-CN" w:bidi="ar-SA"/>
        </w:rPr>
        <w:t>文件。</w:t>
      </w:r>
      <w:r>
        <w:rPr>
          <w:rFonts w:hint="eastAsia" w:eastAsia="宋体"/>
          <w:color w:val="auto"/>
          <w:highlight w:val="none"/>
          <w:lang w:val="en-US" w:eastAsia="zh-CN"/>
        </w:rPr>
        <w:t>截止时间：2023年12月</w:t>
      </w:r>
      <w:r>
        <w:rPr>
          <w:rFonts w:hint="eastAsia" w:eastAsia="宋体"/>
          <w:color w:val="auto"/>
          <w:highlight w:val="none"/>
          <w:u w:val="single"/>
          <w:lang w:val="en-US" w:eastAsia="zh-CN"/>
        </w:rPr>
        <w:t xml:space="preserve">25 </w:t>
      </w:r>
      <w:r>
        <w:rPr>
          <w:rFonts w:hint="eastAsia" w:eastAsia="宋体"/>
          <w:color w:val="auto"/>
          <w:highlight w:val="none"/>
          <w:lang w:val="en-US" w:eastAsia="zh-CN"/>
        </w:rPr>
        <w:t>日15点00分（北京时间）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b w:val="0"/>
          <w:bCs/>
          <w:color w:val="auto"/>
          <w:kern w:val="44"/>
          <w:sz w:val="24"/>
          <w:szCs w:val="24"/>
          <w:lang w:val="en-US" w:eastAsia="zh-CN" w:bidi="ar-SA"/>
        </w:rPr>
      </w:pPr>
      <w:r>
        <w:rPr>
          <w:rFonts w:hint="eastAsia" w:asciiTheme="minorHAnsi" w:hAnsiTheme="minorHAnsi" w:cstheme="minorBidi"/>
          <w:b w:val="0"/>
          <w:bCs/>
          <w:color w:val="auto"/>
          <w:kern w:val="44"/>
          <w:sz w:val="24"/>
          <w:szCs w:val="24"/>
          <w:lang w:val="en-US" w:eastAsia="zh-CN" w:bidi="ar-SA"/>
        </w:rPr>
        <w:t>（3）</w:t>
      </w:r>
      <w:r>
        <w:rPr>
          <w:rFonts w:hint="eastAsia" w:asciiTheme="minorHAnsi" w:hAnsiTheme="minorHAnsi" w:eastAsiaTheme="minorEastAsia" w:cstheme="minorBidi"/>
          <w:b w:val="0"/>
          <w:bCs/>
          <w:color w:val="auto"/>
          <w:kern w:val="44"/>
          <w:sz w:val="24"/>
          <w:szCs w:val="24"/>
          <w:lang w:val="en-US" w:eastAsia="zh-CN" w:bidi="ar-SA"/>
        </w:rPr>
        <w:t>本项目通过</w:t>
      </w:r>
      <w:r>
        <w:rPr>
          <w:rFonts w:hint="eastAsia" w:ascii="宋体" w:hAnsi="宋体" w:eastAsia="宋体" w:cs="宋体"/>
          <w:b w:val="0"/>
          <w:bCs/>
          <w:color w:val="auto"/>
          <w:sz w:val="24"/>
          <w:szCs w:val="24"/>
          <w:lang w:val="en-US" w:eastAsia="zh-CN"/>
        </w:rPr>
        <w:t>三亚市阳光招采服务平台进行</w:t>
      </w:r>
      <w:r>
        <w:rPr>
          <w:rFonts w:hint="eastAsia" w:asciiTheme="minorHAnsi" w:hAnsiTheme="minorHAnsi" w:eastAsiaTheme="minorEastAsia" w:cstheme="minorBidi"/>
          <w:b w:val="0"/>
          <w:bCs/>
          <w:color w:val="auto"/>
          <w:kern w:val="44"/>
          <w:sz w:val="24"/>
          <w:szCs w:val="24"/>
          <w:lang w:val="en-US" w:eastAsia="zh-CN" w:bidi="ar-SA"/>
        </w:rPr>
        <w:t>不见面开标，</w:t>
      </w:r>
      <w:r>
        <w:rPr>
          <w:rFonts w:hint="eastAsia" w:asciiTheme="minorHAnsi" w:hAnsiTheme="minorHAnsi" w:cstheme="minorBidi"/>
          <w:b w:val="0"/>
          <w:bCs/>
          <w:color w:val="auto"/>
          <w:kern w:val="44"/>
          <w:sz w:val="24"/>
          <w:szCs w:val="24"/>
          <w:lang w:val="en-US" w:eastAsia="zh-CN" w:bidi="ar-SA"/>
        </w:rPr>
        <w:t>代理机构</w:t>
      </w:r>
      <w:r>
        <w:rPr>
          <w:rFonts w:hint="eastAsia" w:asciiTheme="minorHAnsi" w:hAnsiTheme="minorHAnsi" w:eastAsiaTheme="minorEastAsia" w:cstheme="minorBidi"/>
          <w:b w:val="0"/>
          <w:bCs/>
          <w:color w:val="auto"/>
          <w:kern w:val="44"/>
          <w:sz w:val="24"/>
          <w:szCs w:val="24"/>
          <w:lang w:val="en-US" w:eastAsia="zh-CN" w:bidi="ar-SA"/>
        </w:rPr>
        <w:t>在</w:t>
      </w:r>
      <w:r>
        <w:rPr>
          <w:rFonts w:hint="eastAsia" w:cstheme="minorBidi"/>
          <w:b w:val="0"/>
          <w:bCs/>
          <w:color w:val="auto"/>
          <w:kern w:val="44"/>
          <w:sz w:val="24"/>
          <w:szCs w:val="24"/>
          <w:lang w:val="en-US" w:eastAsia="zh-CN" w:bidi="ar-SA"/>
        </w:rPr>
        <w:t>响应</w:t>
      </w:r>
      <w:r>
        <w:rPr>
          <w:rFonts w:hint="eastAsia" w:asciiTheme="minorHAnsi" w:hAnsiTheme="minorHAnsi" w:eastAsiaTheme="minorEastAsia" w:cstheme="minorBidi"/>
          <w:b w:val="0"/>
          <w:bCs/>
          <w:color w:val="auto"/>
          <w:kern w:val="44"/>
          <w:sz w:val="24"/>
          <w:szCs w:val="24"/>
          <w:lang w:val="en-US" w:eastAsia="zh-CN" w:bidi="ar-SA"/>
        </w:rPr>
        <w:t>文件提交截止时间前登录该系统，开启时间到达后</w:t>
      </w:r>
      <w:r>
        <w:rPr>
          <w:rFonts w:hint="eastAsia" w:cstheme="minorBidi"/>
          <w:b w:val="0"/>
          <w:bCs/>
          <w:color w:val="auto"/>
          <w:kern w:val="44"/>
          <w:sz w:val="24"/>
          <w:szCs w:val="24"/>
          <w:lang w:val="en-US" w:eastAsia="zh-CN" w:bidi="ar-SA"/>
        </w:rPr>
        <w:t>按照系统提示</w:t>
      </w:r>
      <w:r>
        <w:rPr>
          <w:rFonts w:hint="eastAsia" w:asciiTheme="minorHAnsi" w:hAnsiTheme="minorHAnsi" w:eastAsiaTheme="minorEastAsia" w:cstheme="minorBidi"/>
          <w:b w:val="0"/>
          <w:bCs/>
          <w:color w:val="auto"/>
          <w:kern w:val="44"/>
          <w:sz w:val="24"/>
          <w:szCs w:val="24"/>
          <w:lang w:val="en-US" w:eastAsia="zh-CN" w:bidi="ar-SA"/>
        </w:rPr>
        <w:t>线上扫码解密</w:t>
      </w:r>
      <w:r>
        <w:rPr>
          <w:rFonts w:hint="eastAsia" w:asciiTheme="minorHAnsi" w:hAnsiTheme="minorHAnsi" w:cstheme="minorBidi"/>
          <w:b w:val="0"/>
          <w:bCs/>
          <w:color w:val="auto"/>
          <w:kern w:val="44"/>
          <w:sz w:val="24"/>
          <w:szCs w:val="24"/>
          <w:lang w:val="en-US" w:eastAsia="zh-CN" w:bidi="ar-SA"/>
        </w:rPr>
        <w:t>，</w:t>
      </w:r>
      <w:r>
        <w:rPr>
          <w:rFonts w:hint="eastAsia" w:asciiTheme="minorHAnsi" w:hAnsiTheme="minorHAnsi" w:eastAsiaTheme="minorEastAsia" w:cstheme="minorBidi"/>
          <w:b w:val="0"/>
          <w:bCs/>
          <w:color w:val="auto"/>
          <w:kern w:val="44"/>
          <w:sz w:val="24"/>
          <w:szCs w:val="24"/>
          <w:lang w:val="en-US" w:eastAsia="zh-CN" w:bidi="ar-SA"/>
        </w:rPr>
        <w:t>项目解密开始至结束时间为</w:t>
      </w:r>
      <w:r>
        <w:rPr>
          <w:rFonts w:hint="eastAsia" w:cstheme="minorBidi"/>
          <w:b w:val="0"/>
          <w:bCs/>
          <w:color w:val="auto"/>
          <w:kern w:val="44"/>
          <w:sz w:val="24"/>
          <w:szCs w:val="24"/>
          <w:lang w:val="en-US" w:eastAsia="zh-CN" w:bidi="ar-SA"/>
        </w:rPr>
        <w:t>6</w:t>
      </w:r>
      <w:r>
        <w:rPr>
          <w:rFonts w:hint="eastAsia" w:asciiTheme="minorHAnsi" w:hAnsiTheme="minorHAnsi" w:eastAsiaTheme="minorEastAsia" w:cstheme="minorBidi"/>
          <w:b w:val="0"/>
          <w:bCs/>
          <w:color w:val="auto"/>
          <w:kern w:val="44"/>
          <w:sz w:val="24"/>
          <w:szCs w:val="24"/>
          <w:lang w:val="en-US" w:eastAsia="zh-CN" w:bidi="ar-SA"/>
        </w:rPr>
        <w:t>0分钟</w:t>
      </w:r>
      <w:r>
        <w:rPr>
          <w:rFonts w:hint="eastAsia" w:asciiTheme="minorHAnsi" w:hAnsiTheme="minorHAnsi" w:cstheme="minorBidi"/>
          <w:b w:val="0"/>
          <w:bCs/>
          <w:color w:val="auto"/>
          <w:kern w:val="44"/>
          <w:sz w:val="24"/>
          <w:szCs w:val="24"/>
          <w:lang w:val="en-US" w:eastAsia="zh-CN" w:bidi="ar-SA"/>
        </w:rPr>
        <w:t>。代理机构</w:t>
      </w:r>
      <w:r>
        <w:rPr>
          <w:rFonts w:hint="eastAsia" w:asciiTheme="minorHAnsi" w:hAnsiTheme="minorHAnsi" w:eastAsiaTheme="minorEastAsia" w:cstheme="minorBidi"/>
          <w:b w:val="0"/>
          <w:bCs/>
          <w:color w:val="auto"/>
          <w:kern w:val="44"/>
          <w:sz w:val="24"/>
          <w:szCs w:val="24"/>
          <w:lang w:val="en-US" w:eastAsia="zh-CN" w:bidi="ar-SA"/>
        </w:rPr>
        <w:t>应按时完成</w:t>
      </w:r>
      <w:r>
        <w:rPr>
          <w:rFonts w:hint="eastAsia" w:asciiTheme="minorHAnsi" w:hAnsiTheme="minorHAnsi" w:cstheme="minorBidi"/>
          <w:b w:val="0"/>
          <w:bCs/>
          <w:color w:val="auto"/>
          <w:kern w:val="44"/>
          <w:sz w:val="24"/>
          <w:szCs w:val="24"/>
          <w:lang w:val="en-US" w:eastAsia="zh-CN" w:bidi="ar-SA"/>
        </w:rPr>
        <w:t>响应</w:t>
      </w:r>
      <w:r>
        <w:rPr>
          <w:rFonts w:hint="eastAsia" w:asciiTheme="minorHAnsi" w:hAnsiTheme="minorHAnsi" w:eastAsiaTheme="minorEastAsia" w:cstheme="minorBidi"/>
          <w:b w:val="0"/>
          <w:bCs/>
          <w:color w:val="auto"/>
          <w:kern w:val="44"/>
          <w:sz w:val="24"/>
          <w:szCs w:val="24"/>
          <w:lang w:val="en-US" w:eastAsia="zh-CN" w:bidi="ar-SA"/>
        </w:rPr>
        <w:t>文件解密，因</w:t>
      </w:r>
      <w:r>
        <w:rPr>
          <w:rFonts w:hint="eastAsia" w:asciiTheme="minorHAnsi" w:hAnsiTheme="minorHAnsi" w:cstheme="minorBidi"/>
          <w:b w:val="0"/>
          <w:bCs/>
          <w:color w:val="auto"/>
          <w:kern w:val="44"/>
          <w:sz w:val="24"/>
          <w:szCs w:val="24"/>
          <w:lang w:val="en-US" w:eastAsia="zh-CN" w:bidi="ar-SA"/>
        </w:rPr>
        <w:t>代理机构</w:t>
      </w:r>
      <w:r>
        <w:rPr>
          <w:rFonts w:hint="eastAsia" w:asciiTheme="minorHAnsi" w:hAnsiTheme="minorHAnsi" w:eastAsiaTheme="minorEastAsia" w:cstheme="minorBidi"/>
          <w:b w:val="0"/>
          <w:bCs/>
          <w:color w:val="auto"/>
          <w:kern w:val="44"/>
          <w:sz w:val="24"/>
          <w:szCs w:val="24"/>
          <w:lang w:val="en-US" w:eastAsia="zh-CN" w:bidi="ar-SA"/>
        </w:rPr>
        <w:t>原因造成</w:t>
      </w:r>
      <w:r>
        <w:rPr>
          <w:rFonts w:hint="eastAsia" w:asciiTheme="minorHAnsi" w:hAnsiTheme="minorHAnsi" w:cstheme="minorBidi"/>
          <w:b w:val="0"/>
          <w:bCs/>
          <w:color w:val="auto"/>
          <w:kern w:val="44"/>
          <w:sz w:val="24"/>
          <w:szCs w:val="24"/>
          <w:lang w:val="en-US" w:eastAsia="zh-CN" w:bidi="ar-SA"/>
        </w:rPr>
        <w:t>响应</w:t>
      </w:r>
      <w:r>
        <w:rPr>
          <w:rFonts w:hint="eastAsia" w:asciiTheme="minorHAnsi" w:hAnsiTheme="minorHAnsi" w:eastAsiaTheme="minorEastAsia" w:cstheme="minorBidi"/>
          <w:b w:val="0"/>
          <w:bCs/>
          <w:color w:val="auto"/>
          <w:kern w:val="44"/>
          <w:sz w:val="24"/>
          <w:szCs w:val="24"/>
          <w:lang w:val="en-US" w:eastAsia="zh-CN" w:bidi="ar-SA"/>
        </w:rPr>
        <w:t>文件无法正常解密的，视为放弃投标。</w:t>
      </w:r>
    </w:p>
    <w:p>
      <w:pPr>
        <w:pStyle w:val="3"/>
        <w:rPr>
          <w:rFonts w:hint="eastAsia"/>
          <w:lang w:val="en-US" w:eastAsia="zh-CN"/>
        </w:rPr>
      </w:pPr>
    </w:p>
    <w:p>
      <w:pPr>
        <w:pStyle w:val="2"/>
        <w:numPr>
          <w:ilvl w:val="0"/>
          <w:numId w:val="0"/>
        </w:numPr>
        <w:rPr>
          <w:rFonts w:hint="eastAsia"/>
          <w:lang w:val="en-US" w:eastAsia="zh-CN"/>
        </w:rPr>
      </w:pPr>
      <w:r>
        <w:rPr>
          <w:rFonts w:hint="eastAsia" w:asciiTheme="minorHAnsi" w:hAnsiTheme="minorHAnsi" w:eastAsiaTheme="minorEastAsia" w:cstheme="minorBidi"/>
          <w:b/>
          <w:kern w:val="44"/>
          <w:sz w:val="32"/>
          <w:szCs w:val="24"/>
          <w:lang w:val="en-US" w:eastAsia="zh-CN" w:bidi="ar-SA"/>
        </w:rPr>
        <w:t>十、</w:t>
      </w:r>
      <w:r>
        <w:rPr>
          <w:rFonts w:hint="eastAsia" w:ascii="宋体" w:hAnsi="宋体" w:eastAsia="宋体" w:cs="宋体"/>
          <w:color w:val="auto"/>
          <w:sz w:val="32"/>
          <w:szCs w:val="24"/>
          <w:highlight w:val="none"/>
          <w:lang w:eastAsia="zh-CN"/>
        </w:rPr>
        <w:t>代理机构资格证明文件和符合性响应内容审查表</w:t>
      </w:r>
    </w:p>
    <w:tbl>
      <w:tblPr>
        <w:tblStyle w:val="11"/>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935"/>
        <w:gridCol w:w="5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10" w:type="dxa"/>
            <w:gridSpan w:val="3"/>
            <w:tcBorders>
              <w:top w:val="single" w:color="auto" w:sz="4" w:space="0"/>
              <w:left w:val="single" w:color="auto" w:sz="4" w:space="0"/>
              <w:bottom w:val="single" w:color="auto" w:sz="4" w:space="0"/>
              <w:right w:val="single" w:color="auto" w:sz="4" w:space="0"/>
            </w:tcBorders>
          </w:tcPr>
          <w:p>
            <w:pPr>
              <w:spacing w:line="380" w:lineRule="exact"/>
              <w:ind w:firstLine="0" w:firstLineChars="0"/>
              <w:jc w:val="center"/>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5" w:type="dxa"/>
            <w:tcBorders>
              <w:top w:val="single" w:color="auto" w:sz="4" w:space="0"/>
              <w:left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承担民事责任能力</w:t>
            </w:r>
          </w:p>
        </w:tc>
        <w:tc>
          <w:tcPr>
            <w:tcW w:w="5450" w:type="dxa"/>
            <w:tcBorders>
              <w:top w:val="single" w:color="auto" w:sz="4" w:space="0"/>
              <w:left w:val="single" w:color="auto" w:sz="4" w:space="0"/>
              <w:right w:val="single" w:color="auto" w:sz="4" w:space="0"/>
            </w:tcBorders>
            <w:vAlign w:val="center"/>
          </w:tcPr>
          <w:p>
            <w:pPr>
              <w:spacing w:line="380" w:lineRule="exact"/>
              <w:ind w:firstLine="0" w:firstLineChars="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提供企业法人营业执照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5" w:type="dxa"/>
            <w:tcBorders>
              <w:top w:val="single" w:color="auto" w:sz="4" w:space="0"/>
              <w:left w:val="single" w:color="auto" w:sz="4" w:space="0"/>
              <w:right w:val="single" w:color="auto" w:sz="4" w:space="0"/>
            </w:tcBorders>
            <w:vAlign w:val="center"/>
          </w:tcPr>
          <w:p>
            <w:pPr>
              <w:spacing w:line="380" w:lineRule="exact"/>
              <w:ind w:firstLine="0" w:firstLineChars="0"/>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w:t>
            </w:r>
          </w:p>
        </w:tc>
        <w:tc>
          <w:tcPr>
            <w:tcW w:w="19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rPr>
              <w:t>响应文件签署</w:t>
            </w:r>
          </w:p>
        </w:tc>
        <w:tc>
          <w:tcPr>
            <w:tcW w:w="5450" w:type="dxa"/>
            <w:tcBorders>
              <w:top w:val="single" w:color="auto" w:sz="4" w:space="0"/>
              <w:left w:val="single" w:color="auto" w:sz="4" w:space="0"/>
              <w:right w:val="single" w:color="auto" w:sz="4" w:space="0"/>
            </w:tcBorders>
            <w:vAlign w:val="top"/>
          </w:tcPr>
          <w:p>
            <w:pPr>
              <w:ind w:firstLine="0" w:firstLineChars="0"/>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bidi="ar"/>
              </w:rPr>
              <w:t>响应文件由法定代表人签署</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或</w:t>
            </w:r>
            <w:r>
              <w:rPr>
                <w:rFonts w:hint="eastAsia" w:ascii="宋体" w:hAnsi="宋体" w:eastAsia="宋体" w:cs="宋体"/>
                <w:color w:val="000000"/>
                <w:kern w:val="0"/>
                <w:sz w:val="21"/>
                <w:szCs w:val="21"/>
                <w:lang w:bidi="ar"/>
              </w:rPr>
              <w:t>由授权代表签署的，应附法定代表</w:t>
            </w:r>
            <w:r>
              <w:rPr>
                <w:rFonts w:hint="eastAsia" w:ascii="宋体" w:hAnsi="宋体" w:eastAsia="宋体" w:cs="宋体"/>
                <w:color w:val="000000"/>
                <w:kern w:val="0"/>
                <w:sz w:val="21"/>
                <w:szCs w:val="21"/>
                <w:lang w:val="en-US" w:eastAsia="zh-CN" w:bidi="ar"/>
              </w:rPr>
              <w:t>人</w:t>
            </w:r>
            <w:r>
              <w:rPr>
                <w:rFonts w:hint="eastAsia" w:ascii="宋体" w:hAnsi="宋体" w:eastAsia="宋体" w:cs="宋体"/>
                <w:color w:val="000000"/>
                <w:kern w:val="0"/>
                <w:sz w:val="21"/>
                <w:szCs w:val="21"/>
                <w:lang w:bidi="ar"/>
              </w:rPr>
              <w:t>有效授权书。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25" w:type="dxa"/>
            <w:tcBorders>
              <w:left w:val="single" w:color="auto" w:sz="4" w:space="0"/>
              <w:right w:val="single" w:color="auto" w:sz="4" w:space="0"/>
            </w:tcBorders>
            <w:vAlign w:val="center"/>
          </w:tcPr>
          <w:p>
            <w:pPr>
              <w:spacing w:line="380" w:lineRule="exact"/>
              <w:ind w:firstLine="0" w:firstLineChars="0"/>
              <w:jc w:val="center"/>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3</w:t>
            </w:r>
          </w:p>
        </w:tc>
        <w:tc>
          <w:tcPr>
            <w:tcW w:w="1935" w:type="dxa"/>
            <w:tcBorders>
              <w:top w:val="single" w:color="auto" w:sz="4" w:space="0"/>
              <w:left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依法缴纳税收和社会保障资金</w:t>
            </w:r>
          </w:p>
        </w:tc>
        <w:tc>
          <w:tcPr>
            <w:tcW w:w="5450" w:type="dxa"/>
            <w:tcBorders>
              <w:top w:val="single" w:color="auto" w:sz="4" w:space="0"/>
              <w:left w:val="single" w:color="auto" w:sz="4" w:space="0"/>
              <w:right w:val="single" w:color="auto" w:sz="4" w:space="0"/>
            </w:tcBorders>
          </w:tcPr>
          <w:p>
            <w:pPr>
              <w:spacing w:line="380" w:lineRule="exact"/>
              <w:ind w:firstLine="0" w:firstLineChars="0"/>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提供依法纳税证明和社会保障资金缴费记录（提供202</w:t>
            </w:r>
            <w:r>
              <w:rPr>
                <w:rFonts w:hint="eastAsia" w:ascii="Times New Roman" w:hAnsi="Times New Roman" w:eastAsia="宋体" w:cs="Times New Roman"/>
                <w:color w:val="000000"/>
                <w:kern w:val="0"/>
                <w:sz w:val="21"/>
                <w:szCs w:val="21"/>
                <w:lang w:val="en-US" w:eastAsia="zh-CN"/>
              </w:rPr>
              <w:t>3</w:t>
            </w:r>
            <w:r>
              <w:rPr>
                <w:rFonts w:hint="default" w:ascii="Times New Roman" w:hAnsi="Times New Roman" w:eastAsia="宋体" w:cs="Times New Roman"/>
                <w:color w:val="000000"/>
                <w:kern w:val="0"/>
                <w:sz w:val="21"/>
                <w:szCs w:val="21"/>
              </w:rPr>
              <w:t>年任意一个月的纳税证明和社保缴费凭证复印件）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25" w:type="dxa"/>
            <w:tcBorders>
              <w:left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4</w:t>
            </w:r>
          </w:p>
        </w:tc>
        <w:tc>
          <w:tcPr>
            <w:tcW w:w="1935" w:type="dxa"/>
            <w:tcBorders>
              <w:top w:val="single" w:color="auto" w:sz="4" w:space="0"/>
              <w:left w:val="single" w:color="auto" w:sz="4" w:space="0"/>
              <w:right w:val="single" w:color="auto" w:sz="4" w:space="0"/>
            </w:tcBorders>
            <w:vAlign w:val="center"/>
          </w:tcPr>
          <w:p>
            <w:pPr>
              <w:ind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kern w:val="0"/>
                <w:sz w:val="21"/>
                <w:szCs w:val="21"/>
                <w:lang w:val="en-US" w:eastAsia="zh-CN"/>
              </w:rPr>
              <w:t>政府采购代理资格证明</w:t>
            </w:r>
          </w:p>
        </w:tc>
        <w:tc>
          <w:tcPr>
            <w:tcW w:w="545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提供</w:t>
            </w:r>
            <w:r>
              <w:rPr>
                <w:rFonts w:hint="eastAsia" w:ascii="宋体" w:hAnsi="宋体" w:eastAsia="宋体" w:cs="宋体"/>
                <w:color w:val="000000"/>
                <w:kern w:val="0"/>
                <w:sz w:val="21"/>
                <w:szCs w:val="21"/>
                <w:lang w:bidi="ar"/>
              </w:rPr>
              <w:t>海南省政府采购网登记备案页面和海南省公共资源交易中心交易平台市场主体信息管理页面截图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25" w:type="dxa"/>
            <w:tcBorders>
              <w:left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5</w:t>
            </w:r>
          </w:p>
        </w:tc>
        <w:tc>
          <w:tcPr>
            <w:tcW w:w="1935" w:type="dxa"/>
            <w:tcBorders>
              <w:top w:val="single" w:color="auto" w:sz="4" w:space="0"/>
              <w:left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color w:val="000000"/>
                <w:kern w:val="0"/>
                <w:sz w:val="21"/>
                <w:szCs w:val="21"/>
              </w:rPr>
            </w:pPr>
            <w:r>
              <w:rPr>
                <w:rFonts w:hint="eastAsia" w:eastAsia="宋体" w:cs="宋体"/>
                <w:color w:val="auto"/>
                <w:kern w:val="0"/>
                <w:highlight w:val="none"/>
              </w:rPr>
              <w:t>无重大违法记录声明函</w:t>
            </w:r>
          </w:p>
        </w:tc>
        <w:tc>
          <w:tcPr>
            <w:tcW w:w="545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jc w:val="left"/>
              <w:rPr>
                <w:rFonts w:hint="default"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lang w:eastAsia="zh-CN"/>
              </w:rPr>
              <w:t>代理机构</w:t>
            </w:r>
            <w:r>
              <w:rPr>
                <w:rFonts w:hint="default" w:ascii="Times New Roman" w:hAnsi="Times New Roman" w:eastAsia="宋体" w:cs="Times New Roman"/>
                <w:color w:val="000000"/>
                <w:kern w:val="0"/>
                <w:sz w:val="21"/>
                <w:szCs w:val="21"/>
              </w:rPr>
              <w:t>声明参加采购活动前三年内，在经营活动中没有重大违法记录。（</w:t>
            </w:r>
            <w:r>
              <w:rPr>
                <w:rFonts w:hint="eastAsia" w:ascii="Times New Roman" w:hAnsi="Times New Roman" w:eastAsia="宋体" w:cs="Times New Roman"/>
                <w:color w:val="000000"/>
                <w:kern w:val="0"/>
                <w:sz w:val="21"/>
                <w:szCs w:val="21"/>
                <w:lang w:eastAsia="zh-CN"/>
              </w:rPr>
              <w:t>代理机构</w:t>
            </w:r>
            <w:r>
              <w:rPr>
                <w:rFonts w:hint="default" w:ascii="Times New Roman" w:hAnsi="Times New Roman" w:eastAsia="宋体" w:cs="Times New Roman"/>
                <w:color w:val="000000"/>
                <w:kern w:val="0"/>
                <w:sz w:val="21"/>
                <w:szCs w:val="21"/>
              </w:rPr>
              <w:t>成立未达三年的，从成立之日起计算）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25" w:type="dxa"/>
            <w:tcBorders>
              <w:left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6</w:t>
            </w:r>
          </w:p>
        </w:tc>
        <w:tc>
          <w:tcPr>
            <w:tcW w:w="1935" w:type="dxa"/>
            <w:tcBorders>
              <w:top w:val="single" w:color="auto" w:sz="4" w:space="0"/>
              <w:left w:val="single" w:color="auto" w:sz="4" w:space="0"/>
              <w:right w:val="single" w:color="auto" w:sz="4" w:space="0"/>
            </w:tcBorders>
            <w:vAlign w:val="center"/>
          </w:tcPr>
          <w:p>
            <w:pPr>
              <w:spacing w:line="380" w:lineRule="exact"/>
              <w:ind w:firstLine="0" w:firstLineChars="0"/>
              <w:jc w:val="center"/>
              <w:rPr>
                <w:rFonts w:hint="eastAsia" w:eastAsia="宋体" w:cs="宋体"/>
                <w:color w:val="auto"/>
                <w:kern w:val="0"/>
                <w:highlight w:val="none"/>
              </w:rPr>
            </w:pPr>
            <w:r>
              <w:rPr>
                <w:rFonts w:hint="eastAsia" w:eastAsia="宋体" w:cs="宋体"/>
                <w:color w:val="auto"/>
                <w:kern w:val="0"/>
                <w:highlight w:val="none"/>
              </w:rPr>
              <w:t>诚信承诺</w:t>
            </w:r>
          </w:p>
        </w:tc>
        <w:tc>
          <w:tcPr>
            <w:tcW w:w="545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jc w:val="left"/>
              <w:rPr>
                <w:rFonts w:hint="eastAsia"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提供</w:t>
            </w:r>
            <w:r>
              <w:rPr>
                <w:rFonts w:hint="eastAsia" w:ascii="Times New Roman" w:hAnsi="Times New Roman" w:eastAsia="宋体" w:cs="Times New Roman"/>
                <w:color w:val="000000"/>
                <w:kern w:val="0"/>
                <w:sz w:val="21"/>
                <w:szCs w:val="21"/>
                <w:lang w:eastAsia="zh-CN"/>
              </w:rPr>
              <w:t>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25" w:type="dxa"/>
            <w:tcBorders>
              <w:left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color w:val="000000"/>
                <w:kern w:val="0"/>
                <w:sz w:val="21"/>
                <w:szCs w:val="21"/>
                <w:lang w:eastAsia="zh-CN"/>
              </w:rPr>
            </w:pPr>
            <w:r>
              <w:rPr>
                <w:rFonts w:hint="eastAsia" w:ascii="Times New Roman" w:hAnsi="Times New Roman" w:eastAsia="宋体" w:cs="Times New Roman"/>
                <w:color w:val="000000"/>
                <w:kern w:val="0"/>
                <w:sz w:val="21"/>
                <w:szCs w:val="21"/>
                <w:lang w:val="en-US" w:eastAsia="zh-CN"/>
              </w:rPr>
              <w:t>7</w:t>
            </w:r>
          </w:p>
        </w:tc>
        <w:tc>
          <w:tcPr>
            <w:tcW w:w="1935" w:type="dxa"/>
            <w:tcBorders>
              <w:top w:val="single" w:color="auto" w:sz="4" w:space="0"/>
              <w:left w:val="single" w:color="auto" w:sz="4" w:space="0"/>
              <w:right w:val="single" w:color="auto" w:sz="4" w:space="0"/>
            </w:tcBorders>
            <w:vAlign w:val="center"/>
          </w:tcPr>
          <w:p>
            <w:pPr>
              <w:spacing w:line="380" w:lineRule="exact"/>
              <w:ind w:firstLine="0" w:firstLineChars="0"/>
              <w:jc w:val="center"/>
              <w:rPr>
                <w:rFonts w:hint="eastAsia" w:ascii="Times New Roman" w:hAnsi="Times New Roman" w:eastAsia="宋体" w:cs="Times New Roman"/>
                <w:color w:val="000000"/>
                <w:kern w:val="0"/>
                <w:sz w:val="21"/>
                <w:szCs w:val="21"/>
                <w:lang w:val="en-US" w:eastAsia="zh-CN"/>
              </w:rPr>
            </w:pPr>
            <w:r>
              <w:rPr>
                <w:rFonts w:hint="eastAsia" w:ascii="宋体" w:hAnsi="宋体" w:eastAsia="宋体" w:cs="宋体"/>
                <w:color w:val="000000"/>
                <w:kern w:val="0"/>
                <w:sz w:val="21"/>
                <w:szCs w:val="21"/>
                <w:lang w:eastAsia="zh-CN"/>
              </w:rPr>
              <w:t>代理机构</w:t>
            </w:r>
            <w:r>
              <w:rPr>
                <w:rFonts w:hint="eastAsia" w:ascii="宋体" w:hAnsi="宋体" w:eastAsia="宋体" w:cs="宋体"/>
                <w:color w:val="000000"/>
                <w:kern w:val="0"/>
                <w:sz w:val="21"/>
                <w:szCs w:val="21"/>
              </w:rPr>
              <w:t>信用</w:t>
            </w:r>
          </w:p>
        </w:tc>
        <w:tc>
          <w:tcPr>
            <w:tcW w:w="5450" w:type="dxa"/>
            <w:tcBorders>
              <w:top w:val="single" w:color="auto" w:sz="4" w:space="0"/>
              <w:left w:val="single" w:color="auto" w:sz="4" w:space="0"/>
              <w:right w:val="single" w:color="auto" w:sz="4" w:space="0"/>
            </w:tcBorders>
            <w:vAlign w:val="center"/>
          </w:tcPr>
          <w:p>
            <w:pPr>
              <w:spacing w:line="380" w:lineRule="exact"/>
              <w:ind w:firstLine="0" w:firstLineChars="0"/>
              <w:jc w:val="left"/>
              <w:rPr>
                <w:rFonts w:hint="default"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rPr>
              <w:t>信用查询承诺书</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信用查询记录（没有列入失信被执行人、没有列入重大税收违法失信主体、没有列入政府采购严重违法失信名单）。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710" w:type="dxa"/>
            <w:gridSpan w:val="3"/>
            <w:tcBorders>
              <w:top w:val="single" w:color="auto" w:sz="4" w:space="0"/>
              <w:left w:val="single" w:color="auto" w:sz="4" w:space="0"/>
              <w:bottom w:val="single" w:color="auto" w:sz="4" w:space="0"/>
              <w:right w:val="single" w:color="auto" w:sz="4" w:space="0"/>
            </w:tcBorders>
          </w:tcPr>
          <w:p>
            <w:pPr>
              <w:spacing w:line="380" w:lineRule="exact"/>
              <w:ind w:firstLine="0" w:firstLineChars="0"/>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000000"/>
                <w:kern w:val="0"/>
                <w:sz w:val="28"/>
                <w:szCs w:val="28"/>
              </w:rPr>
              <w:t>二、</w:t>
            </w:r>
            <w:r>
              <w:rPr>
                <w:rFonts w:hint="default" w:ascii="Times New Roman" w:hAnsi="Times New Roman" w:eastAsia="宋体" w:cs="Times New Roman"/>
                <w:b/>
                <w:bCs/>
                <w:kern w:val="0"/>
                <w:sz w:val="28"/>
                <w:szCs w:val="28"/>
              </w:rPr>
              <w:t>符合性检查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25"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w:t>
            </w:r>
          </w:p>
        </w:tc>
        <w:tc>
          <w:tcPr>
            <w:tcW w:w="19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响应报价</w:t>
            </w:r>
          </w:p>
        </w:tc>
        <w:tc>
          <w:tcPr>
            <w:tcW w:w="5450" w:type="dxa"/>
            <w:tcBorders>
              <w:left w:val="single" w:color="auto" w:sz="4" w:space="0"/>
              <w:right w:val="single" w:color="auto" w:sz="4" w:space="0"/>
            </w:tcBorders>
            <w:vAlign w:val="top"/>
          </w:tcPr>
          <w:p>
            <w:pPr>
              <w:numPr>
                <w:ilvl w:val="0"/>
                <w:numId w:val="0"/>
              </w:numPr>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bidi="ar-SA"/>
              </w:rPr>
              <w:t>1、按照采购文件要求规定的有效报价。</w:t>
            </w:r>
          </w:p>
          <w:p>
            <w:pPr>
              <w:numPr>
                <w:ilvl w:val="0"/>
                <w:numId w:val="0"/>
              </w:numPr>
              <w:ind w:firstLine="0" w:firstLineChars="0"/>
              <w:jc w:val="left"/>
              <w:rPr>
                <w:rFonts w:hint="eastAsia" w:ascii="宋体" w:hAnsi="宋体" w:eastAsia="宋体" w:cs="宋体"/>
                <w:color w:val="000000"/>
                <w:kern w:val="0"/>
                <w:sz w:val="21"/>
                <w:szCs w:val="21"/>
                <w:lang w:bidi="ar"/>
              </w:rPr>
            </w:pPr>
            <w:r>
              <w:rPr>
                <w:rFonts w:hint="eastAsia" w:ascii="宋体" w:hAnsi="宋体" w:eastAsia="宋体" w:cs="宋体"/>
                <w:kern w:val="0"/>
                <w:sz w:val="21"/>
                <w:szCs w:val="21"/>
                <w:lang w:val="en-US" w:eastAsia="zh-CN" w:bidi="ar-SA"/>
              </w:rPr>
              <w:t>2、</w:t>
            </w:r>
            <w:r>
              <w:rPr>
                <w:rFonts w:hint="eastAsia" w:ascii="宋体" w:hAnsi="宋体" w:eastAsia="宋体" w:cs="宋体"/>
                <w:kern w:val="0"/>
                <w:sz w:val="21"/>
                <w:szCs w:val="21"/>
              </w:rPr>
              <w:t>报价未超预算。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325"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val="en-US" w:eastAsia="zh-CN"/>
              </w:rPr>
              <w:t>2</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响应文件有效期</w:t>
            </w:r>
          </w:p>
        </w:tc>
        <w:tc>
          <w:tcPr>
            <w:tcW w:w="5450" w:type="dxa"/>
            <w:tcBorders>
              <w:left w:val="single" w:color="auto" w:sz="4" w:space="0"/>
              <w:right w:val="single" w:color="auto" w:sz="4" w:space="0"/>
            </w:tcBorders>
            <w:vAlign w:val="center"/>
          </w:tcPr>
          <w:p>
            <w:pPr>
              <w:spacing w:line="380" w:lineRule="exact"/>
              <w:ind w:firstLine="0" w:firstLineChars="0"/>
              <w:jc w:val="left"/>
              <w:rPr>
                <w:rFonts w:hint="default" w:ascii="Times New Roman" w:hAnsi="Times New Roman" w:eastAsia="宋体" w:cs="Times New Roman"/>
                <w:kern w:val="0"/>
                <w:sz w:val="21"/>
                <w:szCs w:val="21"/>
              </w:rPr>
            </w:pPr>
            <w:r>
              <w:rPr>
                <w:rFonts w:hint="eastAsia" w:ascii="Times New Roman" w:hAnsi="Times New Roman" w:eastAsia="宋体" w:cs="Times New Roman"/>
                <w:kern w:val="0"/>
                <w:sz w:val="21"/>
                <w:szCs w:val="21"/>
                <w:lang w:val="en-US" w:eastAsia="zh-CN"/>
              </w:rPr>
              <w:t>响应文件有效期</w:t>
            </w:r>
            <w:r>
              <w:rPr>
                <w:rFonts w:hint="default" w:ascii="Times New Roman" w:hAnsi="Times New Roman" w:eastAsia="宋体" w:cs="Times New Roman"/>
                <w:kern w:val="0"/>
                <w:sz w:val="21"/>
                <w:szCs w:val="21"/>
              </w:rPr>
              <w:t>符合采购文件的规定。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25"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3</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80" w:lineRule="exact"/>
              <w:ind w:firstLine="0" w:firstLineChars="0"/>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实施开标评标活动承诺</w:t>
            </w:r>
          </w:p>
        </w:tc>
        <w:tc>
          <w:tcPr>
            <w:tcW w:w="5450" w:type="dxa"/>
            <w:tcBorders>
              <w:left w:val="single" w:color="auto" w:sz="4" w:space="0"/>
              <w:right w:val="single" w:color="auto" w:sz="4" w:space="0"/>
            </w:tcBorders>
            <w:vAlign w:val="center"/>
          </w:tcPr>
          <w:p>
            <w:pPr>
              <w:spacing w:line="380" w:lineRule="exact"/>
              <w:ind w:firstLine="0" w:firstLineChars="0"/>
              <w:jc w:val="left"/>
              <w:rPr>
                <w:rFonts w:hint="default" w:ascii="Times New Roman" w:hAnsi="Times New Roman" w:eastAsia="宋体" w:cs="Times New Roman"/>
                <w:sz w:val="21"/>
                <w:szCs w:val="21"/>
              </w:rPr>
            </w:pPr>
            <w:r>
              <w:rPr>
                <w:rFonts w:hint="eastAsia" w:eastAsia="宋体" w:cs="宋体"/>
                <w:color w:val="auto"/>
                <w:sz w:val="21"/>
                <w:szCs w:val="21"/>
                <w:highlight w:val="none"/>
                <w:lang w:val="en-US" w:eastAsia="zh-CN"/>
              </w:rPr>
              <w:t>提交能够依托海南省政府采购评审专家库抽取评审专家并协调利用三亚市公共资源交易中心开评标场地组织开评标活动的书面承诺书</w:t>
            </w:r>
          </w:p>
        </w:tc>
      </w:tr>
    </w:tbl>
    <w:p>
      <w:pPr>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1、表中对</w:t>
      </w:r>
      <w:r>
        <w:rPr>
          <w:rFonts w:hint="eastAsia" w:ascii="Times New Roman" w:hAnsi="Times New Roman" w:eastAsia="宋体" w:cs="Times New Roman"/>
          <w:sz w:val="24"/>
          <w:szCs w:val="24"/>
          <w:lang w:eastAsia="zh-CN"/>
        </w:rPr>
        <w:t>代理机构</w:t>
      </w:r>
      <w:r>
        <w:rPr>
          <w:rFonts w:hint="default" w:ascii="Times New Roman" w:hAnsi="Times New Roman" w:eastAsia="宋体" w:cs="Times New Roman"/>
          <w:sz w:val="24"/>
          <w:szCs w:val="24"/>
        </w:rPr>
        <w:t>的每个单项审查中，符合要求打“√”，即为此项通过；不符合要求打“×”，即为此项未通过，并在表格结论中说明原因。</w:t>
      </w:r>
    </w:p>
    <w:p>
      <w:pPr>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2、结论采用“一项否决”原则。只有全部审查项目都是“通过”的，结论才能是“合格”；只要其中一项是“不通过”的，结论只能是“不合格”。</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3、只有结论是合格的</w:t>
      </w:r>
      <w:r>
        <w:rPr>
          <w:rFonts w:hint="eastAsia" w:ascii="Times New Roman" w:hAnsi="Times New Roman" w:eastAsia="宋体" w:cs="Times New Roman"/>
          <w:sz w:val="24"/>
          <w:szCs w:val="24"/>
          <w:lang w:eastAsia="zh-CN"/>
        </w:rPr>
        <w:t>代理机构</w:t>
      </w:r>
      <w:r>
        <w:rPr>
          <w:rFonts w:hint="default" w:ascii="Times New Roman" w:hAnsi="Times New Roman" w:eastAsia="宋体" w:cs="Times New Roman"/>
          <w:sz w:val="24"/>
          <w:szCs w:val="24"/>
        </w:rPr>
        <w:t>，才能进入下一轮评审；不合格的被淘汰。</w:t>
      </w:r>
    </w:p>
    <w:p>
      <w:pPr>
        <w:rPr>
          <w:rFonts w:hint="default"/>
        </w:rPr>
      </w:pPr>
    </w:p>
    <w:p>
      <w:pPr>
        <w:pStyle w:val="3"/>
        <w:keepNext/>
        <w:keepLines/>
        <w:pageBreakBefore w:val="0"/>
        <w:widowControl w:val="0"/>
        <w:numPr>
          <w:ilvl w:val="0"/>
          <w:numId w:val="1"/>
        </w:numPr>
        <w:kinsoku/>
        <w:wordWrap/>
        <w:overflowPunct/>
        <w:topLinePunct w:val="0"/>
        <w:autoSpaceDE/>
        <w:autoSpaceDN/>
        <w:bidi w:val="0"/>
        <w:adjustRightInd/>
        <w:snapToGrid/>
        <w:spacing w:line="360" w:lineRule="auto"/>
        <w:jc w:val="both"/>
        <w:textAlignment w:val="auto"/>
        <w:outlineLvl w:val="1"/>
        <w:rPr>
          <w:rFonts w:hint="eastAsia" w:ascii="宋体" w:hAnsi="宋体" w:eastAsia="宋体" w:cs="宋体"/>
          <w:color w:val="auto"/>
          <w:sz w:val="32"/>
          <w:szCs w:val="24"/>
          <w:highlight w:val="none"/>
          <w:lang w:eastAsia="zh-CN"/>
        </w:rPr>
      </w:pPr>
      <w:r>
        <w:rPr>
          <w:rFonts w:hint="eastAsia" w:ascii="宋体" w:hAnsi="宋体" w:eastAsia="宋体" w:cs="宋体"/>
          <w:color w:val="auto"/>
          <w:sz w:val="32"/>
          <w:szCs w:val="24"/>
          <w:highlight w:val="none"/>
          <w:lang w:eastAsia="zh-CN"/>
        </w:rPr>
        <w:t>代理机构</w:t>
      </w:r>
      <w:r>
        <w:rPr>
          <w:rFonts w:hint="eastAsia" w:ascii="宋体" w:hAnsi="宋体" w:eastAsia="宋体" w:cs="宋体"/>
          <w:color w:val="auto"/>
          <w:sz w:val="32"/>
          <w:szCs w:val="24"/>
          <w:highlight w:val="none"/>
          <w:lang w:val="en-US" w:eastAsia="zh-CN"/>
        </w:rPr>
        <w:t>响应文件比选综合评分</w:t>
      </w:r>
      <w:r>
        <w:rPr>
          <w:rFonts w:hint="eastAsia" w:ascii="宋体" w:hAnsi="宋体" w:eastAsia="宋体" w:cs="宋体"/>
          <w:color w:val="auto"/>
          <w:sz w:val="32"/>
          <w:szCs w:val="24"/>
          <w:highlight w:val="none"/>
          <w:lang w:eastAsia="zh-CN"/>
        </w:rPr>
        <w:t>表</w:t>
      </w:r>
    </w:p>
    <w:tbl>
      <w:tblPr>
        <w:tblStyle w:val="1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765"/>
        <w:gridCol w:w="192"/>
        <w:gridCol w:w="659"/>
        <w:gridCol w:w="1978"/>
        <w:gridCol w:w="1323"/>
        <w:gridCol w:w="223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82" w:type="dxa"/>
            <w:gridSpan w:val="8"/>
            <w:vAlign w:val="center"/>
          </w:tcPr>
          <w:p>
            <w:pPr>
              <w:ind w:firstLine="0" w:firstLineChars="0"/>
              <w:jc w:val="center"/>
              <w:rPr>
                <w:rFonts w:hint="default" w:ascii="Times New Roman" w:hAnsi="Times New Roman" w:eastAsia="宋体" w:cs="Times New Roman"/>
                <w:b/>
                <w:bCs/>
                <w:color w:val="auto"/>
                <w:kern w:val="0"/>
              </w:rPr>
            </w:pPr>
            <w:r>
              <w:rPr>
                <w:rFonts w:hint="default" w:ascii="Times New Roman" w:hAnsi="Times New Roman" w:eastAsia="宋体" w:cs="Times New Roman"/>
                <w:b/>
                <w:bCs/>
                <w:color w:val="auto"/>
              </w:rPr>
              <w:t>各部分权重分值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54" w:type="dxa"/>
            <w:gridSpan w:val="2"/>
            <w:vAlign w:val="center"/>
          </w:tcPr>
          <w:p>
            <w:pPr>
              <w:ind w:firstLine="0" w:firstLineChars="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评审项目</w:t>
            </w:r>
          </w:p>
        </w:tc>
        <w:tc>
          <w:tcPr>
            <w:tcW w:w="851" w:type="dxa"/>
            <w:gridSpan w:val="2"/>
            <w:vAlign w:val="center"/>
          </w:tcPr>
          <w:p>
            <w:pPr>
              <w:ind w:firstLine="0" w:firstLineChars="0"/>
              <w:jc w:val="center"/>
              <w:rPr>
                <w:rFonts w:hint="eastAsia"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报价</w:t>
            </w:r>
          </w:p>
        </w:tc>
        <w:tc>
          <w:tcPr>
            <w:tcW w:w="1978" w:type="dxa"/>
          </w:tcPr>
          <w:p>
            <w:pPr>
              <w:ind w:firstLine="0" w:firstLineChars="0"/>
              <w:jc w:val="center"/>
              <w:rPr>
                <w:rFonts w:hint="default" w:ascii="Times New Roman" w:hAnsi="Times New Roman" w:eastAsia="宋体" w:cs="Times New Roman"/>
                <w:color w:val="auto"/>
                <w:kern w:val="0"/>
              </w:rPr>
            </w:pPr>
            <w:r>
              <w:rPr>
                <w:rFonts w:hint="eastAsia" w:eastAsia="宋体" w:cs="宋体"/>
                <w:color w:val="auto"/>
                <w:kern w:val="0"/>
                <w:highlight w:val="none"/>
              </w:rPr>
              <w:t>本地化的服务能力</w:t>
            </w:r>
          </w:p>
        </w:tc>
        <w:tc>
          <w:tcPr>
            <w:tcW w:w="1323" w:type="dxa"/>
          </w:tcPr>
          <w:p>
            <w:pPr>
              <w:ind w:firstLine="0" w:firstLineChars="0"/>
              <w:jc w:val="center"/>
              <w:rPr>
                <w:rFonts w:hint="eastAsia" w:eastAsia="宋体" w:cs="宋体"/>
                <w:color w:val="auto"/>
                <w:kern w:val="0"/>
                <w:highlight w:val="none"/>
              </w:rPr>
            </w:pPr>
            <w:r>
              <w:rPr>
                <w:rFonts w:hint="eastAsia" w:eastAsia="宋体"/>
                <w:color w:val="auto"/>
                <w:highlight w:val="none"/>
                <w:lang w:val="en-US" w:eastAsia="zh-CN"/>
              </w:rPr>
              <w:t>类似业绩</w:t>
            </w:r>
          </w:p>
        </w:tc>
        <w:tc>
          <w:tcPr>
            <w:tcW w:w="2235" w:type="dxa"/>
          </w:tcPr>
          <w:p>
            <w:pPr>
              <w:ind w:firstLine="0" w:firstLineChars="0"/>
              <w:jc w:val="center"/>
              <w:rPr>
                <w:rFonts w:hint="default" w:eastAsia="宋体" w:cs="宋体"/>
                <w:color w:val="auto"/>
                <w:kern w:val="0"/>
                <w:highlight w:val="none"/>
                <w:lang w:val="en-US" w:eastAsia="zh-CN"/>
              </w:rPr>
            </w:pPr>
            <w:r>
              <w:rPr>
                <w:rFonts w:hint="eastAsia" w:eastAsia="宋体" w:cs="宋体"/>
                <w:color w:val="auto"/>
                <w:kern w:val="0"/>
                <w:highlight w:val="none"/>
                <w:lang w:val="en-US" w:eastAsia="zh-CN"/>
              </w:rPr>
              <w:t>招标代理实施方案</w:t>
            </w:r>
          </w:p>
        </w:tc>
        <w:tc>
          <w:tcPr>
            <w:tcW w:w="1041" w:type="dxa"/>
          </w:tcPr>
          <w:p>
            <w:pPr>
              <w:ind w:firstLine="0" w:firstLineChars="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54" w:type="dxa"/>
            <w:gridSpan w:val="2"/>
            <w:vAlign w:val="center"/>
          </w:tcPr>
          <w:p>
            <w:pPr>
              <w:ind w:firstLine="0" w:firstLineChars="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权重</w:t>
            </w:r>
          </w:p>
        </w:tc>
        <w:tc>
          <w:tcPr>
            <w:tcW w:w="851" w:type="dxa"/>
            <w:gridSpan w:val="2"/>
            <w:vAlign w:val="center"/>
          </w:tcPr>
          <w:p>
            <w:pPr>
              <w:ind w:firstLine="0" w:firstLineChars="0"/>
              <w:jc w:val="center"/>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10</w:t>
            </w:r>
            <w:r>
              <w:rPr>
                <w:rFonts w:hint="default" w:ascii="Times New Roman" w:hAnsi="Times New Roman" w:eastAsia="宋体" w:cs="Times New Roman"/>
                <w:color w:val="auto"/>
                <w:kern w:val="0"/>
              </w:rPr>
              <w:t>%</w:t>
            </w:r>
          </w:p>
        </w:tc>
        <w:tc>
          <w:tcPr>
            <w:tcW w:w="1978" w:type="dxa"/>
          </w:tcPr>
          <w:p>
            <w:pPr>
              <w:ind w:firstLine="0" w:firstLineChars="0"/>
              <w:jc w:val="center"/>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50</w:t>
            </w:r>
            <w:r>
              <w:rPr>
                <w:rFonts w:hint="default" w:ascii="Times New Roman" w:hAnsi="Times New Roman" w:eastAsia="宋体" w:cs="Times New Roman"/>
                <w:color w:val="auto"/>
                <w:kern w:val="0"/>
              </w:rPr>
              <w:t>%</w:t>
            </w:r>
          </w:p>
        </w:tc>
        <w:tc>
          <w:tcPr>
            <w:tcW w:w="1323" w:type="dxa"/>
            <w:vAlign w:val="center"/>
          </w:tcPr>
          <w:p>
            <w:pPr>
              <w:ind w:firstLine="0" w:firstLineChars="0"/>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20</w:t>
            </w:r>
            <w:r>
              <w:rPr>
                <w:rFonts w:hint="default" w:ascii="Times New Roman" w:hAnsi="Times New Roman" w:eastAsia="宋体" w:cs="Times New Roman"/>
                <w:color w:val="auto"/>
                <w:kern w:val="0"/>
              </w:rPr>
              <w:t>%</w:t>
            </w:r>
          </w:p>
        </w:tc>
        <w:tc>
          <w:tcPr>
            <w:tcW w:w="2235" w:type="dxa"/>
            <w:vAlign w:val="top"/>
          </w:tcPr>
          <w:p>
            <w:pPr>
              <w:ind w:firstLine="0" w:firstLineChars="0"/>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20</w:t>
            </w:r>
            <w:r>
              <w:rPr>
                <w:rFonts w:hint="default" w:ascii="Times New Roman" w:hAnsi="Times New Roman" w:eastAsia="宋体" w:cs="Times New Roman"/>
                <w:color w:val="auto"/>
                <w:kern w:val="0"/>
              </w:rPr>
              <w:t>%</w:t>
            </w:r>
          </w:p>
        </w:tc>
        <w:tc>
          <w:tcPr>
            <w:tcW w:w="1041" w:type="dxa"/>
          </w:tcPr>
          <w:p>
            <w:pPr>
              <w:ind w:firstLine="0" w:firstLineChars="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54" w:type="dxa"/>
            <w:gridSpan w:val="2"/>
            <w:vAlign w:val="center"/>
          </w:tcPr>
          <w:p>
            <w:pPr>
              <w:ind w:firstLine="0" w:firstLineChars="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分值</w:t>
            </w:r>
          </w:p>
        </w:tc>
        <w:tc>
          <w:tcPr>
            <w:tcW w:w="851" w:type="dxa"/>
            <w:gridSpan w:val="2"/>
            <w:vAlign w:val="center"/>
          </w:tcPr>
          <w:p>
            <w:pPr>
              <w:ind w:firstLine="0" w:firstLineChars="0"/>
              <w:jc w:val="center"/>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10</w:t>
            </w:r>
            <w:r>
              <w:rPr>
                <w:rFonts w:hint="default" w:ascii="Times New Roman" w:hAnsi="Times New Roman" w:eastAsia="宋体" w:cs="Times New Roman"/>
                <w:color w:val="auto"/>
                <w:kern w:val="0"/>
              </w:rPr>
              <w:t>分</w:t>
            </w:r>
          </w:p>
        </w:tc>
        <w:tc>
          <w:tcPr>
            <w:tcW w:w="1978" w:type="dxa"/>
          </w:tcPr>
          <w:p>
            <w:pPr>
              <w:ind w:firstLine="0" w:firstLineChars="0"/>
              <w:jc w:val="center"/>
              <w:rPr>
                <w:rFonts w:hint="default" w:ascii="Times New Roman" w:hAnsi="Times New Roman" w:eastAsia="宋体" w:cs="Times New Roman"/>
                <w:color w:val="auto"/>
                <w:kern w:val="0"/>
              </w:rPr>
            </w:pPr>
            <w:r>
              <w:rPr>
                <w:rFonts w:hint="eastAsia" w:ascii="Times New Roman" w:hAnsi="Times New Roman" w:eastAsia="宋体" w:cs="Times New Roman"/>
                <w:color w:val="auto"/>
                <w:kern w:val="0"/>
                <w:lang w:val="en-US" w:eastAsia="zh-CN"/>
              </w:rPr>
              <w:t>50</w:t>
            </w:r>
            <w:r>
              <w:rPr>
                <w:rFonts w:hint="default" w:ascii="Times New Roman" w:hAnsi="Times New Roman" w:eastAsia="宋体" w:cs="Times New Roman"/>
                <w:color w:val="auto"/>
                <w:kern w:val="0"/>
              </w:rPr>
              <w:t>分</w:t>
            </w:r>
          </w:p>
        </w:tc>
        <w:tc>
          <w:tcPr>
            <w:tcW w:w="1323" w:type="dxa"/>
          </w:tcPr>
          <w:p>
            <w:pPr>
              <w:ind w:firstLine="0" w:firstLineChars="0"/>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20</w:t>
            </w:r>
            <w:r>
              <w:rPr>
                <w:rFonts w:hint="default" w:ascii="Times New Roman" w:hAnsi="Times New Roman" w:eastAsia="宋体" w:cs="Times New Roman"/>
                <w:color w:val="auto"/>
                <w:kern w:val="0"/>
              </w:rPr>
              <w:t>分</w:t>
            </w:r>
          </w:p>
        </w:tc>
        <w:tc>
          <w:tcPr>
            <w:tcW w:w="2235" w:type="dxa"/>
          </w:tcPr>
          <w:p>
            <w:pPr>
              <w:ind w:firstLine="0" w:firstLineChars="0"/>
              <w:jc w:val="center"/>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20</w:t>
            </w:r>
            <w:r>
              <w:rPr>
                <w:rFonts w:hint="default" w:ascii="Times New Roman" w:hAnsi="Times New Roman" w:eastAsia="宋体" w:cs="Times New Roman"/>
                <w:color w:val="auto"/>
                <w:kern w:val="0"/>
              </w:rPr>
              <w:t>分</w:t>
            </w:r>
          </w:p>
        </w:tc>
        <w:tc>
          <w:tcPr>
            <w:tcW w:w="1041" w:type="dxa"/>
          </w:tcPr>
          <w:p>
            <w:pPr>
              <w:ind w:firstLine="0" w:firstLineChars="0"/>
              <w:jc w:val="center"/>
              <w:rPr>
                <w:rFonts w:hint="default" w:ascii="Times New Roman" w:hAnsi="Times New Roman" w:eastAsia="宋体" w:cs="Times New Roman"/>
                <w:color w:val="auto"/>
                <w:kern w:val="0"/>
              </w:rPr>
            </w:pPr>
            <w:r>
              <w:rPr>
                <w:rFonts w:hint="default" w:ascii="Times New Roman" w:hAnsi="Times New Roman" w:eastAsia="宋体" w:cs="Times New Roman"/>
                <w:color w:val="auto"/>
                <w:kern w:val="0"/>
              </w:rPr>
              <w:t>10</w:t>
            </w:r>
            <w:r>
              <w:rPr>
                <w:rFonts w:hint="eastAsia" w:ascii="Times New Roman" w:hAnsi="Times New Roman" w:eastAsia="宋体" w:cs="Times New Roman"/>
                <w:color w:val="auto"/>
                <w:kern w:val="0"/>
                <w:lang w:val="en-US" w:eastAsia="zh-CN"/>
              </w:rPr>
              <w:t>0</w:t>
            </w:r>
            <w:r>
              <w:rPr>
                <w:rFonts w:hint="default" w:ascii="Times New Roman" w:hAnsi="Times New Roman" w:eastAsia="宋体" w:cs="Times New Roman"/>
                <w:color w:val="auto"/>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82" w:type="dxa"/>
            <w:gridSpan w:val="8"/>
            <w:vAlign w:val="center"/>
          </w:tcPr>
          <w:p>
            <w:pPr>
              <w:ind w:firstLine="0" w:firstLineChars="0"/>
              <w:jc w:val="center"/>
              <w:rPr>
                <w:rFonts w:hint="default" w:ascii="Times New Roman" w:hAnsi="Times New Roman" w:eastAsia="宋体" w:cs="Times New Roman"/>
                <w:b/>
                <w:color w:val="auto"/>
                <w:kern w:val="0"/>
              </w:rPr>
            </w:pPr>
            <w:r>
              <w:rPr>
                <w:rFonts w:hint="default" w:ascii="Times New Roman" w:hAnsi="Times New Roman" w:eastAsia="宋体" w:cs="Times New Roman"/>
                <w:b/>
                <w:color w:val="auto"/>
                <w:kern w:val="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354" w:type="dxa"/>
            <w:gridSpan w:val="2"/>
            <w:vAlign w:val="center"/>
          </w:tcPr>
          <w:p>
            <w:pPr>
              <w:widowControl/>
              <w:ind w:firstLine="211" w:firstLineChars="10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评审项目</w:t>
            </w:r>
          </w:p>
        </w:tc>
        <w:tc>
          <w:tcPr>
            <w:tcW w:w="6387" w:type="dxa"/>
            <w:gridSpan w:val="5"/>
            <w:vAlign w:val="center"/>
          </w:tcPr>
          <w:p>
            <w:pPr>
              <w:widowControl/>
              <w:spacing w:line="300" w:lineRule="auto"/>
              <w:ind w:firstLine="2530" w:firstLineChars="1200"/>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评分标准</w:t>
            </w:r>
          </w:p>
        </w:tc>
        <w:tc>
          <w:tcPr>
            <w:tcW w:w="1041" w:type="dxa"/>
            <w:vAlign w:val="center"/>
          </w:tcPr>
          <w:p>
            <w:pPr>
              <w:ind w:firstLine="0" w:firstLineChars="0"/>
              <w:jc w:val="center"/>
              <w:rPr>
                <w:rFonts w:hint="default" w:ascii="Times New Roman" w:hAnsi="Times New Roman" w:eastAsia="宋体" w:cs="Times New Roman"/>
                <w:color w:val="auto"/>
              </w:rPr>
            </w:pPr>
            <w:r>
              <w:rPr>
                <w:rFonts w:hint="default" w:ascii="Times New Roman" w:hAnsi="Times New Roman" w:eastAsia="宋体" w:cs="Times New Roman"/>
                <w:b/>
                <w:color w:val="auto"/>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589" w:type="dxa"/>
            <w:vAlign w:val="center"/>
          </w:tcPr>
          <w:p>
            <w:pPr>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p>
        </w:tc>
        <w:tc>
          <w:tcPr>
            <w:tcW w:w="957" w:type="dxa"/>
            <w:gridSpan w:val="2"/>
            <w:vAlign w:val="center"/>
          </w:tcPr>
          <w:p>
            <w:pPr>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报价</w:t>
            </w:r>
          </w:p>
        </w:tc>
        <w:tc>
          <w:tcPr>
            <w:tcW w:w="6195" w:type="dxa"/>
            <w:gridSpan w:val="4"/>
            <w:vAlign w:val="center"/>
          </w:tcPr>
          <w:p>
            <w:pPr>
              <w:ind w:firstLine="420" w:firstLineChars="200"/>
              <w:jc w:val="both"/>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价格分统一采用低价优先法计算，即满足</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采购</w:t>
            </w:r>
            <w:r>
              <w:rPr>
                <w:rFonts w:hint="default" w:ascii="Times New Roman" w:hAnsi="Times New Roman" w:eastAsia="宋体" w:cs="Times New Roman"/>
                <w:b w:val="0"/>
                <w:bCs w:val="0"/>
                <w:color w:val="000000" w:themeColor="text1"/>
                <w:sz w:val="21"/>
                <w:szCs w:val="21"/>
                <w14:textFill>
                  <w14:solidFill>
                    <w14:schemeClr w14:val="tx1"/>
                  </w14:solidFill>
                </w14:textFill>
              </w:rPr>
              <w:t>文件实质性要求且最后报价最低的投标人的价格为评标基准价，其价格分为满分。其他</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报价人</w:t>
            </w:r>
            <w:r>
              <w:rPr>
                <w:rFonts w:hint="default" w:ascii="Times New Roman" w:hAnsi="Times New Roman" w:eastAsia="宋体" w:cs="Times New Roman"/>
                <w:b w:val="0"/>
                <w:bCs w:val="0"/>
                <w:color w:val="000000" w:themeColor="text1"/>
                <w:sz w:val="21"/>
                <w:szCs w:val="21"/>
                <w14:textFill>
                  <w14:solidFill>
                    <w14:schemeClr w14:val="tx1"/>
                  </w14:solidFill>
                </w14:textFill>
              </w:rPr>
              <w:t>的价格分统一按照下列公式计算：</w:t>
            </w:r>
          </w:p>
          <w:p>
            <w:pPr>
              <w:ind w:firstLine="420" w:firstLineChars="200"/>
              <w:jc w:val="both"/>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投标报价得分=（投标基准价/投标报价）×价格分权重×10</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p>
        </w:tc>
        <w:tc>
          <w:tcPr>
            <w:tcW w:w="1041" w:type="dxa"/>
            <w:vAlign w:val="center"/>
          </w:tcPr>
          <w:p>
            <w:pPr>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589" w:type="dxa"/>
            <w:vAlign w:val="center"/>
          </w:tcPr>
          <w:p>
            <w:pPr>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w:t>
            </w:r>
          </w:p>
        </w:tc>
        <w:tc>
          <w:tcPr>
            <w:tcW w:w="957" w:type="dxa"/>
            <w:gridSpan w:val="2"/>
            <w:vAlign w:val="top"/>
          </w:tcPr>
          <w:p>
            <w:pPr>
              <w:ind w:firstLine="0" w:firstLineChars="0"/>
              <w:jc w:val="center"/>
              <w:rPr>
                <w:rFonts w:hint="eastAsia" w:ascii="Times New Roman" w:hAnsi="Times New Roman" w:eastAsia="宋体" w:cs="Times New Roman"/>
                <w:color w:val="auto"/>
                <w:kern w:val="0"/>
                <w:sz w:val="21"/>
                <w:szCs w:val="24"/>
                <w:lang w:val="en-US" w:eastAsia="zh-CN" w:bidi="ar-SA"/>
              </w:rPr>
            </w:pPr>
            <w:r>
              <w:rPr>
                <w:rFonts w:hint="eastAsia" w:eastAsia="宋体" w:cs="宋体"/>
                <w:color w:val="auto"/>
                <w:kern w:val="0"/>
                <w:highlight w:val="none"/>
              </w:rPr>
              <w:t>本地化的服务能力</w:t>
            </w:r>
          </w:p>
        </w:tc>
        <w:tc>
          <w:tcPr>
            <w:tcW w:w="6195" w:type="dxa"/>
            <w:gridSpan w:val="4"/>
            <w:vAlign w:val="center"/>
          </w:tcPr>
          <w:p>
            <w:pPr>
              <w:numPr>
                <w:ilvl w:val="0"/>
                <w:numId w:val="0"/>
              </w:numPr>
              <w:ind w:firstLine="422" w:firstLineChars="200"/>
              <w:jc w:val="both"/>
              <w:rPr>
                <w:rFonts w:hint="eastAsia" w:eastAsia="宋体" w:cs="宋体"/>
                <w:b/>
                <w:bCs/>
                <w:color w:val="auto"/>
                <w:kern w:val="0"/>
                <w:highlight w:val="none"/>
                <w:lang w:val="en-US" w:eastAsia="zh-CN"/>
              </w:rPr>
            </w:pPr>
            <w:r>
              <w:rPr>
                <w:rFonts w:hint="eastAsia" w:eastAsia="宋体" w:cs="宋体"/>
                <w:b/>
                <w:bCs/>
                <w:color w:val="auto"/>
                <w:kern w:val="0"/>
                <w:highlight w:val="none"/>
                <w:lang w:val="en-US" w:eastAsia="zh-CN"/>
              </w:rPr>
              <w:t>代理机构提供在海南省政府采购网--代理机构详细信息截图中为所备案人员：本项最高得50分</w:t>
            </w:r>
          </w:p>
          <w:p>
            <w:pPr>
              <w:numPr>
                <w:ilvl w:val="0"/>
                <w:numId w:val="0"/>
              </w:numPr>
              <w:ind w:firstLine="0" w:firstLineChars="0"/>
              <w:jc w:val="both"/>
              <w:rPr>
                <w:rFonts w:hint="default" w:eastAsia="宋体" w:cs="宋体"/>
                <w:color w:val="auto"/>
                <w:kern w:val="0"/>
                <w:highlight w:val="none"/>
                <w:lang w:val="en-US" w:eastAsia="zh-CN"/>
              </w:rPr>
            </w:pPr>
            <w:r>
              <w:rPr>
                <w:rFonts w:hint="eastAsia" w:eastAsia="宋体" w:cs="宋体"/>
                <w:color w:val="auto"/>
                <w:kern w:val="0"/>
                <w:sz w:val="21"/>
                <w:szCs w:val="24"/>
                <w:lang w:val="en-US" w:eastAsia="zh-CN" w:bidi="ar-SA"/>
              </w:rPr>
              <w:t>1</w:t>
            </w:r>
            <w:r>
              <w:rPr>
                <w:rFonts w:hint="default" w:eastAsia="宋体" w:cs="宋体" w:asciiTheme="minorHAnsi" w:hAnsiTheme="minorHAnsi"/>
                <w:color w:val="auto"/>
                <w:kern w:val="0"/>
                <w:sz w:val="21"/>
                <w:szCs w:val="24"/>
                <w:lang w:val="en-US" w:eastAsia="zh-CN" w:bidi="ar-SA"/>
              </w:rPr>
              <w:t>、</w:t>
            </w:r>
            <w:r>
              <w:rPr>
                <w:rFonts w:hint="eastAsia" w:eastAsia="宋体" w:cs="宋体"/>
                <w:color w:val="auto"/>
                <w:kern w:val="0"/>
                <w:sz w:val="21"/>
                <w:szCs w:val="24"/>
                <w:lang w:val="en-US" w:eastAsia="zh-CN" w:bidi="ar-SA"/>
              </w:rPr>
              <w:t>提供</w:t>
            </w:r>
            <w:r>
              <w:rPr>
                <w:rFonts w:hint="eastAsia" w:eastAsia="宋体" w:cs="宋体"/>
                <w:color w:val="auto"/>
                <w:kern w:val="0"/>
                <w:highlight w:val="none"/>
                <w:lang w:val="en-US" w:eastAsia="zh-CN"/>
              </w:rPr>
              <w:t>2023年11月份购买的社保凭证，每提供1人得6分，本小项最高得30分；</w:t>
            </w:r>
          </w:p>
          <w:p>
            <w:pPr>
              <w:numPr>
                <w:ilvl w:val="0"/>
                <w:numId w:val="0"/>
              </w:numPr>
              <w:ind w:firstLine="0" w:firstLineChars="0"/>
              <w:jc w:val="both"/>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2、</w:t>
            </w:r>
            <w:r>
              <w:rPr>
                <w:rFonts w:hint="eastAsia" w:eastAsia="宋体" w:cs="宋体"/>
                <w:color w:val="auto"/>
                <w:kern w:val="0"/>
                <w:highlight w:val="none"/>
                <w:lang w:val="en-US" w:eastAsia="zh-CN"/>
              </w:rPr>
              <w:t>提供2022年或2023年参加省级政府采购监管机构组织的采购业务知识测试合格证或由政府采购从业人员培训合格证，每提供1人得4分，本小项最高得20分。</w:t>
            </w:r>
          </w:p>
        </w:tc>
        <w:tc>
          <w:tcPr>
            <w:tcW w:w="1041" w:type="dxa"/>
            <w:vAlign w:val="center"/>
          </w:tcPr>
          <w:p>
            <w:pPr>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589" w:type="dxa"/>
            <w:vAlign w:val="center"/>
          </w:tcPr>
          <w:p>
            <w:pPr>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w:t>
            </w:r>
          </w:p>
        </w:tc>
        <w:tc>
          <w:tcPr>
            <w:tcW w:w="957" w:type="dxa"/>
            <w:gridSpan w:val="2"/>
            <w:vAlign w:val="center"/>
          </w:tcPr>
          <w:p>
            <w:pPr>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业绩</w:t>
            </w:r>
          </w:p>
        </w:tc>
        <w:tc>
          <w:tcPr>
            <w:tcW w:w="6195" w:type="dxa"/>
            <w:gridSpan w:val="4"/>
            <w:vAlign w:val="center"/>
          </w:tcPr>
          <w:p>
            <w:pPr>
              <w:pStyle w:val="15"/>
              <w:spacing w:line="276" w:lineRule="auto"/>
              <w:ind w:firstLine="0" w:firstLineChars="0"/>
              <w:jc w:val="left"/>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代理机构</w:t>
            </w:r>
            <w:r>
              <w:rPr>
                <w:rFonts w:hint="default" w:ascii="Times New Roman" w:hAnsi="Times New Roman" w:eastAsia="宋体" w:cs="Times New Roman"/>
                <w:color w:val="000000" w:themeColor="text1"/>
                <w:sz w:val="21"/>
                <w:szCs w:val="21"/>
                <w14:textFill>
                  <w14:solidFill>
                    <w14:schemeClr w14:val="tx1"/>
                  </w14:solidFill>
                </w14:textFill>
              </w:rPr>
              <w:t>近三年内具有同类</w:t>
            </w:r>
            <w:r>
              <w:rPr>
                <w:rFonts w:hint="default" w:ascii="Times New Roman" w:hAnsi="Times New Roman" w:eastAsia="宋体" w:cs="Times New Roman"/>
                <w:color w:val="000000" w:themeColor="text1"/>
                <w:sz w:val="21"/>
                <w:szCs w:val="21"/>
                <w:lang w:eastAsia="zh-CN"/>
                <w14:textFill>
                  <w14:solidFill>
                    <w14:schemeClr w14:val="tx1"/>
                  </w14:solidFill>
                </w14:textFill>
              </w:rPr>
              <w:t>业绩</w:t>
            </w:r>
            <w:r>
              <w:rPr>
                <w:rFonts w:hint="default" w:ascii="Times New Roman" w:hAnsi="Times New Roman" w:eastAsia="宋体" w:cs="Times New Roman"/>
                <w:color w:val="000000" w:themeColor="text1"/>
                <w:sz w:val="21"/>
                <w:szCs w:val="21"/>
                <w14:textFill>
                  <w14:solidFill>
                    <w14:schemeClr w14:val="tx1"/>
                  </w14:solidFill>
                </w14:textFill>
              </w:rPr>
              <w:t>，每个得</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r>
              <w:rPr>
                <w:rFonts w:hint="default" w:ascii="Times New Roman" w:hAnsi="Times New Roman" w:eastAsia="宋体" w:cs="Times New Roman"/>
                <w:color w:val="000000" w:themeColor="text1"/>
                <w:sz w:val="21"/>
                <w:szCs w:val="21"/>
                <w14:textFill>
                  <w14:solidFill>
                    <w14:schemeClr w14:val="tx1"/>
                  </w14:solidFill>
                </w14:textFill>
              </w:rPr>
              <w:t>分，最高得</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1"/>
                <w14:textFill>
                  <w14:solidFill>
                    <w14:schemeClr w14:val="tx1"/>
                  </w14:solidFill>
                </w14:textFill>
              </w:rPr>
              <w:t>分。</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提供国家或省级政府采购网中标或成交公告截图</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p>
        </w:tc>
        <w:tc>
          <w:tcPr>
            <w:tcW w:w="1041" w:type="dxa"/>
            <w:vAlign w:val="center"/>
          </w:tcPr>
          <w:p>
            <w:pPr>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589" w:type="dxa"/>
            <w:vAlign w:val="center"/>
          </w:tcPr>
          <w:p>
            <w:pPr>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w:t>
            </w:r>
          </w:p>
        </w:tc>
        <w:tc>
          <w:tcPr>
            <w:tcW w:w="957" w:type="dxa"/>
            <w:gridSpan w:val="2"/>
            <w:vAlign w:val="center"/>
          </w:tcPr>
          <w:p>
            <w:pPr>
              <w:ind w:firstLine="0" w:firstLine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olor w:val="auto"/>
                <w:highlight w:val="none"/>
                <w:lang w:val="en-US" w:eastAsia="zh-CN"/>
              </w:rPr>
              <w:t>招标代理实施方案</w:t>
            </w:r>
          </w:p>
        </w:tc>
        <w:tc>
          <w:tcPr>
            <w:tcW w:w="6195" w:type="dxa"/>
            <w:gridSpan w:val="4"/>
            <w:vAlign w:val="center"/>
          </w:tcPr>
          <w:p>
            <w:pPr>
              <w:spacing w:line="288"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根据响应程度进行</w:t>
            </w: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综合比对</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评审：</w:t>
            </w:r>
            <w:r>
              <w:rPr>
                <w:rFonts w:hint="eastAsia" w:eastAsia="宋体" w:cs="宋体"/>
                <w:b/>
                <w:bCs/>
                <w:color w:val="auto"/>
                <w:kern w:val="0"/>
                <w:highlight w:val="none"/>
                <w:lang w:val="en-US" w:eastAsia="zh-CN"/>
              </w:rPr>
              <w:t>本项最高得20分</w:t>
            </w:r>
          </w:p>
          <w:p>
            <w:pPr>
              <w:spacing w:line="288"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1、适用性强，思路清晰，内容全面。表述专业科学，各项指标完整，合理务实，操作性强等方面，在15-</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分之间酌情赋分；</w:t>
            </w:r>
          </w:p>
          <w:p>
            <w:pPr>
              <w:spacing w:line="288"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2、内容不够全面，操作性不强，只能基本能够满足采购项目需要，在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分之间酌情赋分；</w:t>
            </w:r>
          </w:p>
          <w:p>
            <w:pPr>
              <w:spacing w:line="288" w:lineRule="auto"/>
              <w:ind w:firstLine="0" w:firstLineChars="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3、方案不合理，专业性不强，仅能够部分满足需求，由专家在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分之间酌情赋分。</w:t>
            </w:r>
          </w:p>
          <w:p>
            <w:pPr>
              <w:pStyle w:val="3"/>
              <w:rPr>
                <w:rFonts w:hint="default"/>
                <w:lang w:val="en-US"/>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4、不提供，不得分。</w:t>
            </w:r>
          </w:p>
        </w:tc>
        <w:tc>
          <w:tcPr>
            <w:tcW w:w="1041" w:type="dxa"/>
            <w:vAlign w:val="center"/>
          </w:tcPr>
          <w:p>
            <w:pPr>
              <w:ind w:firstLine="0" w:firstLineChars="0"/>
              <w:jc w:val="cente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20</w:t>
            </w:r>
          </w:p>
        </w:tc>
      </w:tr>
    </w:tbl>
    <w:p>
      <w:pPr>
        <w:pStyle w:val="3"/>
        <w:rPr>
          <w:rFonts w:hint="default"/>
          <w:lang w:val="en-US" w:eastAsia="zh-CN"/>
        </w:rPr>
      </w:pPr>
    </w:p>
    <w:p>
      <w:pPr>
        <w:pStyle w:val="4"/>
        <w:spacing w:before="0" w:after="0" w:line="360" w:lineRule="auto"/>
        <w:rPr>
          <w:rFonts w:hint="default" w:ascii="Times New Roman" w:hAnsi="Times New Roman" w:eastAsia="宋体" w:cs="Times New Roman"/>
          <w:b/>
          <w:bCs/>
          <w:sz w:val="32"/>
          <w:szCs w:val="32"/>
        </w:rPr>
      </w:pPr>
      <w:bookmarkStart w:id="1" w:name="_Toc52356184"/>
      <w:bookmarkStart w:id="2" w:name="_Toc16072"/>
      <w:bookmarkStart w:id="3" w:name="_Toc14433"/>
      <w:bookmarkStart w:id="4" w:name="_Toc18480315"/>
      <w:bookmarkStart w:id="5" w:name="_Toc17586"/>
      <w:bookmarkStart w:id="6" w:name="_Toc19797"/>
      <w:bookmarkStart w:id="7" w:name="_Toc5520"/>
      <w:bookmarkStart w:id="8" w:name="_Toc19119"/>
      <w:bookmarkStart w:id="9" w:name="_Toc6993"/>
      <w:r>
        <w:rPr>
          <w:rFonts w:hint="eastAsia" w:ascii="Times New Roman" w:hAnsi="Times New Roman" w:eastAsia="宋体" w:cs="Times New Roman"/>
          <w:b/>
          <w:bCs/>
          <w:sz w:val="32"/>
          <w:szCs w:val="32"/>
          <w:lang w:val="en-US" w:eastAsia="zh-CN"/>
        </w:rPr>
        <w:t>十二、比选</w:t>
      </w:r>
      <w:r>
        <w:rPr>
          <w:rFonts w:hint="default" w:ascii="Times New Roman" w:hAnsi="Times New Roman" w:eastAsia="宋体" w:cs="Times New Roman"/>
          <w:b/>
          <w:bCs/>
          <w:sz w:val="32"/>
          <w:szCs w:val="32"/>
        </w:rPr>
        <w:t>方法</w:t>
      </w:r>
      <w:bookmarkEnd w:id="1"/>
      <w:bookmarkEnd w:id="2"/>
      <w:bookmarkEnd w:id="3"/>
      <w:bookmarkEnd w:id="4"/>
      <w:bookmarkEnd w:id="5"/>
      <w:bookmarkEnd w:id="6"/>
      <w:bookmarkEnd w:id="7"/>
      <w:bookmarkEnd w:id="8"/>
      <w:bookmarkEnd w:id="9"/>
    </w:p>
    <w:p>
      <w:pPr>
        <w:spacing w:line="440" w:lineRule="exact"/>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1、</w:t>
      </w:r>
      <w:r>
        <w:rPr>
          <w:rFonts w:hint="default" w:ascii="Times New Roman" w:hAnsi="Times New Roman" w:eastAsia="宋体" w:cs="Times New Roman"/>
        </w:rPr>
        <w:t>采用综合评分法</w:t>
      </w:r>
      <w:r>
        <w:rPr>
          <w:rFonts w:hint="eastAsia" w:ascii="Times New Roman" w:hAnsi="Times New Roman" w:eastAsia="宋体" w:cs="Times New Roman"/>
          <w:lang w:eastAsia="zh-CN"/>
        </w:rPr>
        <w:t>，</w:t>
      </w:r>
      <w:r>
        <w:rPr>
          <w:rFonts w:hint="default" w:ascii="Times New Roman" w:hAnsi="Times New Roman" w:eastAsia="宋体" w:cs="Times New Roman"/>
          <w:b w:val="0"/>
          <w:bCs w:val="0"/>
        </w:rPr>
        <w:t>满分为10</w:t>
      </w:r>
      <w:r>
        <w:rPr>
          <w:rFonts w:hint="eastAsia" w:ascii="Times New Roman" w:hAnsi="Times New Roman" w:eastAsia="宋体" w:cs="Times New Roman"/>
          <w:b w:val="0"/>
          <w:bCs w:val="0"/>
          <w:lang w:val="en-US" w:eastAsia="zh-CN"/>
        </w:rPr>
        <w:t>0</w:t>
      </w:r>
      <w:r>
        <w:rPr>
          <w:rFonts w:hint="default" w:ascii="Times New Roman" w:hAnsi="Times New Roman" w:eastAsia="宋体" w:cs="Times New Roman"/>
          <w:b w:val="0"/>
          <w:bCs w:val="0"/>
        </w:rPr>
        <w:t>分。</w:t>
      </w:r>
    </w:p>
    <w:p>
      <w:pPr>
        <w:spacing w:line="440" w:lineRule="exact"/>
        <w:ind w:firstLine="420" w:firstLineChars="200"/>
        <w:rPr>
          <w:rFonts w:hint="default" w:ascii="Times New Roman" w:hAnsi="Times New Roman" w:eastAsia="宋体" w:cs="Times New Roman"/>
        </w:rPr>
      </w:pPr>
      <w:r>
        <w:rPr>
          <w:rFonts w:hint="default" w:ascii="Times New Roman" w:hAnsi="Times New Roman" w:eastAsia="宋体" w:cs="Times New Roman"/>
        </w:rPr>
        <w:t>2、</w:t>
      </w:r>
      <w:r>
        <w:rPr>
          <w:rFonts w:hint="eastAsia" w:ascii="Times New Roman" w:hAnsi="Times New Roman" w:eastAsia="宋体" w:cs="Times New Roman"/>
          <w:lang w:val="en-US" w:eastAsia="zh-CN"/>
        </w:rPr>
        <w:t>评审</w:t>
      </w:r>
      <w:r>
        <w:rPr>
          <w:rFonts w:hint="default" w:ascii="Times New Roman" w:hAnsi="Times New Roman" w:eastAsia="宋体" w:cs="Times New Roman"/>
        </w:rPr>
        <w:t>步骤：先进行</w:t>
      </w:r>
      <w:r>
        <w:rPr>
          <w:rFonts w:hint="eastAsia" w:ascii="Times New Roman" w:hAnsi="Times New Roman" w:eastAsia="宋体" w:cs="Times New Roman"/>
          <w:lang w:val="en-US" w:eastAsia="zh-CN"/>
        </w:rPr>
        <w:t>资格和符合性</w:t>
      </w:r>
      <w:r>
        <w:rPr>
          <w:rFonts w:hint="default" w:ascii="Times New Roman" w:hAnsi="Times New Roman" w:eastAsia="宋体" w:cs="Times New Roman"/>
        </w:rPr>
        <w:t>审</w:t>
      </w:r>
      <w:r>
        <w:rPr>
          <w:rFonts w:hint="eastAsia" w:ascii="Times New Roman" w:hAnsi="Times New Roman" w:eastAsia="宋体" w:cs="Times New Roman"/>
          <w:lang w:val="en-US" w:eastAsia="zh-CN"/>
        </w:rPr>
        <w:t>查</w:t>
      </w:r>
      <w:r>
        <w:rPr>
          <w:rFonts w:hint="default" w:ascii="Times New Roman" w:hAnsi="Times New Roman" w:eastAsia="宋体" w:cs="Times New Roman"/>
        </w:rPr>
        <w:t>，再进行</w:t>
      </w:r>
      <w:r>
        <w:rPr>
          <w:rFonts w:hint="eastAsia" w:ascii="Times New Roman" w:hAnsi="Times New Roman" w:eastAsia="宋体" w:cs="Times New Roman"/>
          <w:lang w:val="en-US" w:eastAsia="zh-CN"/>
        </w:rPr>
        <w:t>比选综合</w:t>
      </w:r>
      <w:r>
        <w:rPr>
          <w:rFonts w:hint="default" w:ascii="Times New Roman" w:hAnsi="Times New Roman" w:eastAsia="宋体" w:cs="Times New Roman"/>
        </w:rPr>
        <w:t>详细评审。只有通</w:t>
      </w:r>
      <w:r>
        <w:rPr>
          <w:rFonts w:hint="eastAsia" w:ascii="Times New Roman" w:hAnsi="Times New Roman" w:eastAsia="宋体" w:cs="Times New Roman"/>
          <w:lang w:val="en-US" w:eastAsia="zh-CN"/>
        </w:rPr>
        <w:t>资格和符合性</w:t>
      </w:r>
      <w:r>
        <w:rPr>
          <w:rFonts w:hint="default" w:ascii="Times New Roman" w:hAnsi="Times New Roman" w:eastAsia="宋体" w:cs="Times New Roman"/>
        </w:rPr>
        <w:t>审</w:t>
      </w:r>
      <w:r>
        <w:rPr>
          <w:rFonts w:hint="eastAsia" w:ascii="Times New Roman" w:hAnsi="Times New Roman" w:eastAsia="宋体" w:cs="Times New Roman"/>
          <w:lang w:val="en-US" w:eastAsia="zh-CN"/>
        </w:rPr>
        <w:t>查</w:t>
      </w:r>
      <w:r>
        <w:rPr>
          <w:rFonts w:hint="default" w:ascii="Times New Roman" w:hAnsi="Times New Roman" w:eastAsia="宋体" w:cs="Times New Roman"/>
        </w:rPr>
        <w:t>的</w:t>
      </w:r>
      <w:r>
        <w:rPr>
          <w:rFonts w:hint="eastAsia" w:ascii="Times New Roman" w:hAnsi="Times New Roman" w:eastAsia="宋体" w:cs="Times New Roman"/>
          <w:lang w:val="en-US" w:eastAsia="zh-CN"/>
        </w:rPr>
        <w:t>代理机构</w:t>
      </w:r>
      <w:r>
        <w:rPr>
          <w:rFonts w:hint="default" w:ascii="Times New Roman" w:hAnsi="Times New Roman" w:eastAsia="宋体" w:cs="Times New Roman"/>
        </w:rPr>
        <w:t>才能进入详细的评审。</w:t>
      </w:r>
    </w:p>
    <w:p>
      <w:pPr>
        <w:spacing w:line="440" w:lineRule="exact"/>
        <w:ind w:firstLine="420" w:firstLineChars="200"/>
        <w:rPr>
          <w:rFonts w:hint="default" w:ascii="Times New Roman" w:hAnsi="Times New Roman" w:eastAsia="宋体" w:cs="Times New Roman"/>
        </w:rPr>
      </w:pPr>
      <w:r>
        <w:rPr>
          <w:rFonts w:hint="default" w:ascii="Times New Roman" w:hAnsi="Times New Roman" w:eastAsia="宋体" w:cs="Times New Roman"/>
        </w:rPr>
        <w:t>3、综合评分及其统计：按照</w:t>
      </w:r>
      <w:r>
        <w:rPr>
          <w:rFonts w:hint="eastAsia" w:ascii="Times New Roman" w:hAnsi="Times New Roman" w:eastAsia="宋体" w:cs="Times New Roman"/>
          <w:lang w:val="en-US" w:eastAsia="zh-CN"/>
        </w:rPr>
        <w:t>比选综合评审</w:t>
      </w:r>
      <w:r>
        <w:rPr>
          <w:rFonts w:hint="default" w:ascii="Times New Roman" w:hAnsi="Times New Roman" w:eastAsia="宋体" w:cs="Times New Roman"/>
        </w:rPr>
        <w:t>程序、评分标准以及权重分配的规定，对</w:t>
      </w:r>
      <w:r>
        <w:rPr>
          <w:rFonts w:hint="eastAsia" w:ascii="Times New Roman" w:hAnsi="Times New Roman" w:eastAsia="宋体" w:cs="Times New Roman"/>
          <w:lang w:val="en-US" w:eastAsia="zh-CN"/>
        </w:rPr>
        <w:t>响应</w:t>
      </w:r>
      <w:r>
        <w:rPr>
          <w:rFonts w:hint="default" w:ascii="Times New Roman" w:hAnsi="Times New Roman" w:eastAsia="宋体" w:cs="Times New Roman"/>
        </w:rPr>
        <w:t>文件要求的响应情况等进行评议和比较，</w:t>
      </w:r>
      <w:r>
        <w:rPr>
          <w:rFonts w:hint="eastAsia" w:ascii="Times New Roman" w:hAnsi="Times New Roman" w:eastAsia="宋体" w:cs="Times New Roman"/>
          <w:lang w:val="en-US" w:eastAsia="zh-CN"/>
        </w:rPr>
        <w:t>再分别</w:t>
      </w:r>
      <w:r>
        <w:rPr>
          <w:rFonts w:hint="default" w:ascii="Times New Roman" w:hAnsi="Times New Roman" w:eastAsia="宋体" w:cs="Times New Roman"/>
        </w:rPr>
        <w:t>赋分。各评委赋分的算术平均值，即为该</w:t>
      </w:r>
      <w:r>
        <w:rPr>
          <w:rFonts w:hint="eastAsia" w:ascii="Times New Roman" w:hAnsi="Times New Roman" w:eastAsia="宋体" w:cs="Times New Roman"/>
          <w:lang w:val="en-US" w:eastAsia="zh-CN"/>
        </w:rPr>
        <w:t>代理机构</w:t>
      </w:r>
      <w:r>
        <w:rPr>
          <w:rFonts w:hint="default" w:ascii="Times New Roman" w:hAnsi="Times New Roman" w:eastAsia="宋体" w:cs="Times New Roman"/>
        </w:rPr>
        <w:t>的</w:t>
      </w:r>
      <w:r>
        <w:rPr>
          <w:rFonts w:hint="eastAsia" w:ascii="Times New Roman" w:hAnsi="Times New Roman" w:eastAsia="宋体" w:cs="Times New Roman"/>
          <w:lang w:val="en-US" w:eastAsia="zh-CN"/>
        </w:rPr>
        <w:t>各项</w:t>
      </w:r>
      <w:r>
        <w:rPr>
          <w:rFonts w:hint="default" w:ascii="Times New Roman" w:hAnsi="Times New Roman" w:eastAsia="宋体" w:cs="Times New Roman"/>
        </w:rPr>
        <w:t>得分。将</w:t>
      </w:r>
      <w:r>
        <w:rPr>
          <w:rFonts w:hint="eastAsia" w:ascii="Times New Roman" w:hAnsi="Times New Roman" w:eastAsia="宋体" w:cs="Times New Roman"/>
          <w:lang w:val="en-US" w:eastAsia="zh-CN"/>
        </w:rPr>
        <w:t>各项</w:t>
      </w:r>
      <w:r>
        <w:rPr>
          <w:rFonts w:hint="default" w:ascii="Times New Roman" w:hAnsi="Times New Roman" w:eastAsia="宋体" w:cs="Times New Roman"/>
        </w:rPr>
        <w:t>得分相加得出每个</w:t>
      </w:r>
      <w:r>
        <w:rPr>
          <w:rFonts w:hint="eastAsia" w:ascii="Times New Roman" w:hAnsi="Times New Roman" w:eastAsia="宋体" w:cs="Times New Roman"/>
          <w:lang w:val="en-US" w:eastAsia="zh-CN"/>
        </w:rPr>
        <w:t>代理机构</w:t>
      </w:r>
      <w:r>
        <w:rPr>
          <w:rFonts w:hint="default" w:ascii="Times New Roman" w:hAnsi="Times New Roman" w:eastAsia="宋体" w:cs="Times New Roman"/>
        </w:rPr>
        <w:t>的综合得分。</w:t>
      </w:r>
    </w:p>
    <w:p>
      <w:pPr>
        <w:spacing w:line="440" w:lineRule="exact"/>
        <w:ind w:firstLine="420" w:firstLineChars="200"/>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4、中选代理机构：</w:t>
      </w:r>
      <w:r>
        <w:rPr>
          <w:rFonts w:hint="default" w:ascii="Times New Roman" w:hAnsi="Times New Roman" w:eastAsia="宋体" w:cs="Times New Roman"/>
        </w:rPr>
        <w:t>综合得分最高的</w:t>
      </w:r>
      <w:r>
        <w:rPr>
          <w:rFonts w:hint="eastAsia" w:ascii="Times New Roman" w:hAnsi="Times New Roman" w:eastAsia="宋体" w:cs="Times New Roman"/>
          <w:lang w:val="en-US" w:eastAsia="zh-CN"/>
        </w:rPr>
        <w:t>为中选代理机构。</w:t>
      </w:r>
      <w:r>
        <w:rPr>
          <w:rFonts w:hint="default" w:ascii="Times New Roman" w:hAnsi="Times New Roman" w:eastAsia="宋体" w:cs="Times New Roman"/>
        </w:rPr>
        <w:t>综合得分相同的，</w:t>
      </w:r>
      <w:r>
        <w:rPr>
          <w:rFonts w:hint="eastAsia" w:ascii="Times New Roman" w:hAnsi="Times New Roman" w:eastAsia="宋体" w:cs="Times New Roman"/>
          <w:lang w:val="en-US" w:eastAsia="zh-CN"/>
        </w:rPr>
        <w:t>分别</w:t>
      </w:r>
      <w:r>
        <w:rPr>
          <w:rFonts w:hint="default" w:ascii="Times New Roman" w:hAnsi="Times New Roman" w:eastAsia="宋体" w:cs="Times New Roman"/>
        </w:rPr>
        <w:t>按本地化服务能力</w:t>
      </w:r>
      <w:r>
        <w:rPr>
          <w:rFonts w:hint="eastAsia" w:ascii="Times New Roman" w:hAnsi="Times New Roman" w:eastAsia="宋体" w:cs="Times New Roman"/>
          <w:lang w:eastAsia="zh-CN"/>
        </w:rPr>
        <w:t>、</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业绩</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w:t>
      </w:r>
      <w:r>
        <w:rPr>
          <w:rFonts w:hint="eastAsia" w:eastAsia="宋体"/>
          <w:color w:val="auto"/>
          <w:highlight w:val="none"/>
          <w:lang w:val="en-US" w:eastAsia="zh-CN"/>
        </w:rPr>
        <w:t>招标代理实施方案</w:t>
      </w: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得分</w:t>
      </w:r>
      <w:r>
        <w:rPr>
          <w:rFonts w:hint="default" w:ascii="Times New Roman" w:hAnsi="Times New Roman" w:eastAsia="宋体" w:cs="Times New Roman"/>
        </w:rPr>
        <w:t>由</w:t>
      </w:r>
      <w:r>
        <w:rPr>
          <w:rFonts w:hint="eastAsia" w:ascii="Times New Roman" w:hAnsi="Times New Roman" w:eastAsia="宋体" w:cs="Times New Roman"/>
          <w:lang w:val="en-US" w:eastAsia="zh-CN"/>
        </w:rPr>
        <w:t>高</w:t>
      </w:r>
      <w:r>
        <w:rPr>
          <w:rFonts w:hint="default" w:ascii="Times New Roman" w:hAnsi="Times New Roman" w:eastAsia="宋体" w:cs="Times New Roman"/>
        </w:rPr>
        <w:t>至</w:t>
      </w:r>
      <w:r>
        <w:rPr>
          <w:rFonts w:hint="eastAsia" w:ascii="Times New Roman" w:hAnsi="Times New Roman" w:eastAsia="宋体" w:cs="Times New Roman"/>
          <w:lang w:val="en-US" w:eastAsia="zh-CN"/>
        </w:rPr>
        <w:t>低</w:t>
      </w:r>
      <w:r>
        <w:rPr>
          <w:rFonts w:hint="default" w:ascii="Times New Roman" w:hAnsi="Times New Roman" w:eastAsia="宋体" w:cs="Times New Roman"/>
        </w:rPr>
        <w:t>顺序</w:t>
      </w:r>
      <w:r>
        <w:rPr>
          <w:rFonts w:hint="eastAsia" w:ascii="Times New Roman" w:hAnsi="Times New Roman" w:eastAsia="宋体" w:cs="Times New Roman"/>
          <w:lang w:val="en-US" w:eastAsia="zh-CN"/>
        </w:rPr>
        <w:t>选择</w:t>
      </w:r>
      <w:r>
        <w:rPr>
          <w:rFonts w:hint="default" w:ascii="Times New Roman" w:hAnsi="Times New Roman" w:eastAsia="宋体" w:cs="Times New Roman"/>
        </w:rPr>
        <w:t>。</w:t>
      </w:r>
    </w:p>
    <w:p>
      <w:pPr>
        <w:pStyle w:val="13"/>
        <w:spacing w:line="578" w:lineRule="exact"/>
        <w:ind w:left="0" w:leftChars="0" w:firstLine="0" w:firstLineChars="0"/>
        <w:rPr>
          <w:rFonts w:hint="eastAsia" w:eastAsia="宋体"/>
          <w:color w:val="auto"/>
          <w:sz w:val="28"/>
          <w:szCs w:val="28"/>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79A80"/>
    <w:multiLevelType w:val="singleLevel"/>
    <w:tmpl w:val="CBD79A80"/>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WUxMzczMTM0OWE2MzI3OTJmM2FiNDY2NDAzNjYifQ=="/>
  </w:docVars>
  <w:rsids>
    <w:rsidRoot w:val="611A1DD0"/>
    <w:rsid w:val="035F33BB"/>
    <w:rsid w:val="0A402FCB"/>
    <w:rsid w:val="0BE300B2"/>
    <w:rsid w:val="0D0840E2"/>
    <w:rsid w:val="0FEC2FAA"/>
    <w:rsid w:val="15A9236C"/>
    <w:rsid w:val="189A5F9C"/>
    <w:rsid w:val="1ADA3333"/>
    <w:rsid w:val="1F0423C1"/>
    <w:rsid w:val="1F52137F"/>
    <w:rsid w:val="20134888"/>
    <w:rsid w:val="21C36564"/>
    <w:rsid w:val="21EA4096"/>
    <w:rsid w:val="221072CF"/>
    <w:rsid w:val="270513CC"/>
    <w:rsid w:val="32AF3B63"/>
    <w:rsid w:val="34F96174"/>
    <w:rsid w:val="35F03248"/>
    <w:rsid w:val="39D37108"/>
    <w:rsid w:val="3D606F05"/>
    <w:rsid w:val="46582E6F"/>
    <w:rsid w:val="580B3A48"/>
    <w:rsid w:val="59927FEE"/>
    <w:rsid w:val="5E543AC4"/>
    <w:rsid w:val="5F131BD1"/>
    <w:rsid w:val="5FC92295"/>
    <w:rsid w:val="611A1DD0"/>
    <w:rsid w:val="63024B9B"/>
    <w:rsid w:val="65B17A4E"/>
    <w:rsid w:val="66E60374"/>
    <w:rsid w:val="69B81161"/>
    <w:rsid w:val="6AEB3A02"/>
    <w:rsid w:val="6D302E17"/>
    <w:rsid w:val="6E0E1EE1"/>
    <w:rsid w:val="6FC71FF9"/>
    <w:rsid w:val="73337CF4"/>
    <w:rsid w:val="76F33E34"/>
    <w:rsid w:val="782555FC"/>
    <w:rsid w:val="7E5E2DE0"/>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80" w:lineRule="auto"/>
      <w:outlineLvl w:val="0"/>
    </w:pPr>
    <w:rPr>
      <w:b/>
      <w:kern w:val="44"/>
      <w:sz w:val="32"/>
    </w:rPr>
  </w:style>
  <w:style w:type="paragraph" w:styleId="3">
    <w:name w:val="heading 2"/>
    <w:basedOn w:val="1"/>
    <w:next w:val="1"/>
    <w:qFormat/>
    <w:uiPriority w:val="0"/>
    <w:pPr>
      <w:keepNext/>
      <w:keepLines/>
      <w:spacing w:line="480" w:lineRule="auto"/>
      <w:outlineLvl w:val="1"/>
    </w:pPr>
    <w:rPr>
      <w:rFonts w:ascii="Arial" w:hAnsi="Arial"/>
      <w:b/>
      <w:bCs/>
      <w:sz w:val="28"/>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1"/>
    <w:pPr>
      <w:spacing w:before="100" w:beforeAutospacing="1" w:after="100" w:afterAutospacing="1" w:line="360" w:lineRule="auto"/>
      <w:ind w:firstLine="480" w:firstLineChars="200"/>
    </w:pPr>
    <w:rPr>
      <w:rFonts w:ascii="Arial Unicode MS" w:hAnsi="Arial Unicode MS" w:eastAsia="Arial Unicode MS" w:cs="Times New Roman"/>
      <w:color w:val="000000"/>
      <w:sz w:val="22"/>
      <w:szCs w:val="22"/>
    </w:rPr>
  </w:style>
  <w:style w:type="paragraph" w:styleId="10">
    <w:name w:val="Body Text First Indent 2"/>
    <w:basedOn w:val="6"/>
    <w:qFormat/>
    <w:uiPriority w:val="0"/>
  </w:style>
  <w:style w:type="paragraph" w:customStyle="1" w:styleId="13">
    <w:name w:val="正文1"/>
    <w:basedOn w:val="1"/>
    <w:qFormat/>
    <w:uiPriority w:val="0"/>
    <w:pPr>
      <w:spacing w:line="360" w:lineRule="auto"/>
      <w:ind w:firstLine="200" w:firstLineChars="200"/>
    </w:pPr>
    <w:rPr>
      <w:rFonts w:ascii="宋体" w:hAnsi="宋体" w:cs="宋体"/>
      <w:color w:val="000000"/>
      <w:kern w:val="0"/>
      <w:sz w:val="24"/>
    </w:rPr>
  </w:style>
  <w:style w:type="paragraph" w:customStyle="1" w:styleId="14">
    <w:name w:val="*正文"/>
    <w:basedOn w:val="1"/>
    <w:next w:val="1"/>
    <w:qFormat/>
    <w:uiPriority w:val="0"/>
    <w:pPr>
      <w:spacing w:line="360" w:lineRule="auto"/>
      <w:ind w:firstLine="480" w:firstLineChars="200"/>
    </w:pPr>
    <w:rPr>
      <w:rFonts w:ascii="宋体" w:hAnsi="宋体"/>
      <w:sz w:val="24"/>
    </w:rPr>
  </w:style>
  <w:style w:type="paragraph" w:customStyle="1" w:styleId="15">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2023-11-24T07:53:00Z</dcterms:created>
  <dc:creator>汪先生</dc:creator>
  <cp:lastModifiedBy>星星</cp:lastModifiedBy>
  <cp:lastPrinted>2023-12-11T07:36:00Z</cp:lastPrinted>
  <dcterms:modified xsi:type="dcterms:W3CDTF">2023-12-19T10:58:28Z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57401C20921043ADB67313F009E9B93C_13</vt:lpwstr>
  </property>
</Properties>
</file>